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生成日期：2026-07-04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《促进平台经济大中小企业协同发展行动方案》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发文机关：工业和信息化部等八部门</w:t>
        <w:br/>
        <w:t>发文日期：2026-06-23</w:t>
        <w:br/>
        <w:t>原文链接：https://www.miit.gov.cn/zwgk/zcwj/</w:t>
      </w:r>
    </w:p>
    <w:p>
      <w:pPr>
        <w:ind w:left="240"/>
      </w:pPr>
      <w:r>
        <w:t>推动平台经济领域大中小企业融通创新，构建协同发展生态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发文机关：国家网信办等五部门</w:t>
        <w:br/>
        <w:t>发文日期：2026-06-08</w:t>
        <w:br/>
        <w:t>原文链接：https://www.cac.gov.cn/wxzw/wxfb/A093702index_1.htm</w:t>
      </w:r>
    </w:p>
    <w:p>
      <w:pPr>
        <w:ind w:left="240"/>
      </w:pPr>
      <w:r>
        <w:t>规范互联网信息内容多渠道分发服务，明确平台责任与内容管理要求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《2026年提升全民数字素养与技能工作要点》</w:t>
      </w:r>
    </w:p>
    <w:p>
      <w:r>
        <w:rPr>
          <w:color w:val="646464"/>
          <w:sz w:val="20"/>
        </w:rPr>
        <w:t>文　　号：暂无</w:t>
        <w:br/>
        <w:t>发文机关：中央网信办等四部门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部署年度数字素养提升重点任务，涵盖教育、培训、技能认证等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《人工智能应用伦理规范》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明确人工智能研发应用中的伦理原则与合规要求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《关于加快招标投标领域人工智能推广应用的实施意见》</w:t>
      </w:r>
    </w:p>
    <w:p>
      <w:r>
        <w:rPr>
          <w:color w:val="646464"/>
          <w:sz w:val="20"/>
        </w:rPr>
        <w:t>文　　号：发改法规〔2026〕</w:t>
        <w:br/>
        <w:t>发文机关：国家发展改革委</w:t>
        <w:br/>
        <w:t>发文日期：2026-03-11</w:t>
      </w:r>
    </w:p>
    <w:p>
      <w:pPr>
        <w:ind w:left="240"/>
      </w:pPr>
      <w:r>
        <w:t>推动AI在招标文件检测、智能评标、围串标识别等场景应用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《2026年上海市制造业智能化发展项目申报通知》</w:t>
      </w:r>
    </w:p>
    <w:p>
      <w:r>
        <w:rPr>
          <w:color w:val="646464"/>
          <w:sz w:val="20"/>
        </w:rPr>
        <w:t>文　　号：暂无</w:t>
        <w:br/>
        <w:t>发文机关：上海市经济和信息化委员会</w:t>
        <w:br/>
        <w:t>发文日期：2026-01-12</w:t>
        <w:br/>
        <w:t>原文链接：https://www.sheitc.sh.gov.cn/cyfz/20260112/11e3168ff89a4eeea2b1afd193c19418.html</w:t>
      </w:r>
    </w:p>
    <w:p>
      <w:pPr>
        <w:ind w:left="240"/>
      </w:pPr>
      <w:r>
        <w:t>支持工业互联网平台智能化升级，研发场景模型与智能体开发工具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《2026年“模数共振”行动通知》</w:t>
      </w:r>
    </w:p>
    <w:p>
      <w:r>
        <w:rPr>
          <w:color w:val="646464"/>
          <w:sz w:val="20"/>
        </w:rPr>
        <w:t>文　　号：暂无</w:t>
        <w:br/>
        <w:t>发文机关：工业和信息化部、国家数据局</w:t>
        <w:br/>
        <w:t>发文日期：2026-04-28</w:t>
        <w:br/>
        <w:t>原文链接：http://xxzx.mwr.gov.cn/xxhhygl/bwdt/202604/t20260430_2109346.html</w:t>
      </w:r>
    </w:p>
    <w:p>
      <w:pPr>
        <w:ind w:left="240"/>
      </w:pPr>
      <w:r>
        <w:t>推动人工智能模型与数据资源协同互促，促进产业融合创新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《日本AI政策与数字经济2026年动向》</w:t>
      </w:r>
    </w:p>
    <w:p>
      <w:r>
        <w:rPr>
          <w:color w:val="646464"/>
          <w:sz w:val="20"/>
        </w:rPr>
        <w:t>文　　号：暂无</w:t>
        <w:br/>
        <w:t>发文机关：日本デジタル庁</w:t>
        <w:br/>
        <w:t>发文日期：2026-06-01</w:t>
      </w:r>
    </w:p>
    <w:p>
      <w:pPr>
        <w:ind w:left="240"/>
      </w:pPr>
      <w:r>
        <w:t>日本推进AI治理框架，强调可信AI与数据流通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《欧盟AI法案实施进展》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发文日期：2026-06-15</w:t>
      </w:r>
    </w:p>
    <w:p>
      <w:pPr>
        <w:ind w:left="240"/>
      </w:pPr>
      <w:r>
        <w:t>欧盟AI法案逐步生效，高风险AI系统合规要求落地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《美国AI行政令与数据治理新规》</w:t>
      </w:r>
    </w:p>
    <w:p>
      <w:r>
        <w:rPr>
          <w:color w:val="646464"/>
          <w:sz w:val="20"/>
        </w:rPr>
        <w:t>文　　号：暂无</w:t>
        <w:br/>
        <w:t>发文机关：白宫</w:t>
        <w:br/>
        <w:t>发文日期：2026-05-20</w:t>
      </w:r>
    </w:p>
    <w:p>
      <w:pPr>
        <w:ind w:left="240"/>
      </w:pPr>
      <w:r>
        <w:t>美国加强AI安全测试与数据隐私保护，推动联邦机构采用AI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加速：AI伦理与安全法规密集出台）：2026年上半年，中国密集发布《人工智能应用伦理规范》《人工智能生成合成内容标识办法》等文件，标志着AI监管从原则性指导转向具体操作性规则。其逻辑在于，生成式AI的快速普及带来了虚假信息、版权争议等风险，亟需建立可执行的合规框架。研判：下半年将出台更多行业细分标准，如金融、医疗领域的AI应用指南，企业需提前布局合规体系。</w:t>
      </w:r>
    </w:p>
    <w:p>
      <w:r>
        <w:rPr>
          <w:b/>
          <w:color w:val="5B6DE4"/>
        </w:rPr>
        <w:t xml:space="preserve">②  </w:t>
      </w:r>
      <w:r>
        <w:t>趋势2（算力布局从“东数西算”转向“智算优先”）：天津、贵阳、青岛等地纷纷出台2024-2026年算力实施方案，均强调智能算力（智算）的优先布局，而非单纯扩大通用算力规模。这反映出大模型训练对高密度算力的刚性需求，以及国家“东数西算”工程从基础设施铺设向应用赋能的深化。研判：智算中心将成为新基建投资热点，但需警惕部分地区重复建设导致的资源浪费。</w:t>
      </w:r>
    </w:p>
    <w:p>
      <w:r>
        <w:rPr>
          <w:b/>
          <w:color w:val="5B6DE4"/>
        </w:rPr>
        <w:t xml:space="preserve">③  </w:t>
      </w:r>
      <w:r>
        <w:t>趋势3（数据跨境流动规则细化，汽车行业先行突破）：八部门联合发布《汽车数据出境安全指引（2026版）》，首次为特定行业数据出境提供可操作路径。其背后逻辑是，汽车智能化产生的海量数据涉及国家安全与个人隐私，但完全禁止出境将阻碍全球供应链协作。研判：后续将陆续出台金融、医疗等领域的专项数据出境规则，形成“行业+场景”的精细化管理体系。</w:t>
      </w:r>
    </w:p>
    <w:p>
      <w:r>
        <w:rPr>
          <w:b/>
          <w:color w:val="5B6DE4"/>
        </w:rPr>
        <w:t xml:space="preserve">④  </w:t>
      </w:r>
      <w:r>
        <w:t>趋势4（工业互联网与AI深度融合，“模数共振”成为新抓手）：工信部与国家数据局联合启动2026年“模数共振”行动，旨在打通AI模型与工业数据之间的壁垒。此前发布的《“人工智能+制造”专项行动实施意见》已奠定政策基础。这一趋势的驱动因素是，工业场景中数据孤岛严重，模型训练缺乏高质量数据集。研判：将催生一批工业数据标注、模型微调的专业服务商，但数据确权与收益分配机制仍是难点。</w:t>
      </w:r>
    </w:p>
    <w:p>
      <w:r>
        <w:rPr>
          <w:b/>
          <w:color w:val="5B6DE4"/>
        </w:rPr>
        <w:t xml:space="preserve">⑤  </w:t>
      </w:r>
      <w:r>
        <w:t>趋势5（平台经济监管转向“促发展”与“强协同”）：《促进平台经济大中小企业协同发展行动方案》的出台，标志着平台经济监管从2021年的强反垄断转向“规范+发展”并重。方案强调大平台带动中小企业数字化转型，而非单纯限制巨头扩张。研判：平台企业将获得更多政策支持参与产业互联网建设，但数据垄断和算法歧视问题仍需持续关注。</w:t>
      </w:r>
    </w:p>
    <w:p>
      <w:r>
        <w:rPr>
          <w:b/>
          <w:color w:val="5B6DE4"/>
        </w:rPr>
        <w:t xml:space="preserve">⑥  </w:t>
      </w:r>
      <w:r>
        <w:t>趋势6（国际比较：中国AI监管侧重内容安全，欧盟侧重风险分级，美国侧重创新激励）：中国2026年密集出台AI标识、伦理规范等文件，核心关切是内容安全与社会稳定；欧盟AI法案按风险等级对AI系统分类监管，强调基本权利保护；美国则通过行政令推动联邦机构采用AI并鼓励自愿性安全承诺。三者差异源于不同的治理哲学：中国重秩序、欧盟重权利、美国重效率。启示：中国企业出海需同时满足三套标准，合规成本将显著上升，但率先建立跨境合规体系的企业将获得竞争优势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