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生成日期：2026-05-28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>
      <w:r>
        <w:rPr>
          <w:b/>
          <w:sz w:val="24"/>
        </w:rPr>
        <w:t>《《2026年数字经济发展工作要点》印发》</w:t>
      </w:r>
    </w:p>
    <w:p>
      <w:r>
        <w:rPr>
          <w:color w:val="646464"/>
          <w:sz w:val="20"/>
        </w:rPr>
        <w:t>文　　号：暂无</w:t>
        <w:br/>
        <w:t>发文机关：国家数据局</w:t>
        <w:br/>
        <w:t>发文日期：2026-05-20</w:t>
        <w:br/>
        <w:t>原文链接：http://finance.people.com.cn/n1/2026/0521/c1004-40724157.html</w:t>
      </w:r>
    </w:p>
    <w:p>
      <w:pPr>
        <w:ind w:left="240"/>
      </w:pPr>
      <w:r>
        <w:t>部署8方面重点任务，包括数据要素市场化、数字基础设施等。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《《人工智能终端智能化分级》系列国家标准发布》</w:t>
      </w:r>
    </w:p>
    <w:p>
      <w:r>
        <w:rPr>
          <w:color w:val="646464"/>
          <w:sz w:val="20"/>
        </w:rPr>
        <w:t>文　　号：暂无</w:t>
        <w:br/>
        <w:t>发文机关：工业和信息化部</w:t>
        <w:br/>
        <w:t>发文日期：2026-05-08</w:t>
        <w:br/>
        <w:t>原文链接：https://www.miit.gov.cn/xbymdz/xwfb/gxdt/</w:t>
      </w:r>
    </w:p>
    <w:p>
      <w:pPr>
        <w:ind w:left="240"/>
      </w:pPr>
      <w:r>
        <w:t>发布人工智能终端智能化分级系列国家标准。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《2026年“数据要素×”大赛通知发布》</w:t>
      </w:r>
    </w:p>
    <w:p>
      <w:r>
        <w:rPr>
          <w:color w:val="646464"/>
          <w:sz w:val="20"/>
        </w:rPr>
        <w:t>文　　号：暂无</w:t>
        <w:br/>
        <w:t>发文机关：国家数据局、中央网信办等20部门</w:t>
        <w:br/>
        <w:t>发文日期：2026-04-29</w:t>
      </w:r>
    </w:p>
    <w:p>
      <w:pPr>
        <w:ind w:left="240"/>
      </w:pPr>
      <w:r>
        <w:t>主题“数据赋能 乘数而上”，设工业制造等多赛道。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《《天津市网络安全和信息化条例》自2026年5月1日起施行》</w:t>
      </w:r>
    </w:p>
    <w:p>
      <w:r>
        <w:rPr>
          <w:color w:val="646464"/>
          <w:sz w:val="20"/>
        </w:rPr>
        <w:t>文　　号：暂无</w:t>
        <w:br/>
        <w:t>发文机关：天津市人民政府</w:t>
        <w:br/>
        <w:t>发文日期：2026-04-28</w:t>
        <w:br/>
        <w:t>原文链接：https://sasac.tj.gov.cn/ZWGK1142/zcwj/sjwj/202605/t20260506_7293990.html</w:t>
      </w:r>
    </w:p>
    <w:p>
      <w:pPr>
        <w:ind w:left="240"/>
      </w:pPr>
      <w:r>
        <w:t>规定算力基础设施、工业互联网等建设，促进网信发展。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《《关于加快招标投标领域人工智能推广应用的实施意见》》</w:t>
      </w:r>
    </w:p>
    <w:p>
      <w:r>
        <w:rPr>
          <w:color w:val="646464"/>
          <w:sz w:val="20"/>
        </w:rPr>
        <w:t>文　　号：发改法规〔2026〕</w:t>
        <w:br/>
        <w:t>发文机关：国家发展改革委</w:t>
        <w:br/>
        <w:t>发文日期：2026-03-11</w:t>
      </w:r>
    </w:p>
    <w:p>
      <w:pPr>
        <w:ind w:left="240"/>
      </w:pPr>
      <w:r>
        <w:t>推动AI在招标投标领域应用，协调数据和算力需求。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中国加速数据要素市场化，国家数据局印发工作要点，推动数据产权登记与公共数据授权运营。</w:t>
      </w:r>
    </w:p>
    <w:p>
      <w:r>
        <w:rPr>
          <w:b/>
          <w:color w:val="5B6DE4"/>
        </w:rPr>
        <w:t xml:space="preserve">②  </w:t>
      </w:r>
      <w:r>
        <w:t>智能体与AI终端分级标准出台，中国在AI治理领域细化规范，强调安全与发展并重。</w:t>
      </w:r>
    </w:p>
    <w:p>
      <w:r>
        <w:rPr>
          <w:b/>
          <w:color w:val="5B6DE4"/>
        </w:rPr>
        <w:t xml:space="preserve">③  </w:t>
      </w:r>
      <w:r>
        <w:t>数据跨境管理持续完善，北京、上海等地发布自贸区数据出境负面清单，平衡开放与安全。</w:t>
      </w:r>
    </w:p>
    <w:p>
      <w:r>
        <w:rPr>
          <w:b/>
          <w:color w:val="5B6DE4"/>
        </w:rPr>
        <w:t xml:space="preserve">④  </w:t>
      </w:r>
      <w:r>
        <w:t>算力基础设施立法提速，天津等地明确算力、工业互联网建设要求，支撑数字经济发展。</w:t>
      </w:r>
    </w:p>
    <w:p>
      <w:r>
        <w:rPr>
          <w:b/>
          <w:color w:val="5B6DE4"/>
        </w:rPr>
        <w:t xml:space="preserve">⑤  </w:t>
      </w:r>
      <w:r>
        <w:t>国际方面，欧盟AI法案与数据治理框架持续推进，中国在AI监管与数据安全领域与国际互动加强。</w:t>
      </w:r>
    </w:p>
    <w:p>
      <w:r>
        <w:rPr>
          <w:b/>
          <w:color w:val="5B6DE4"/>
        </w:rPr>
        <w:t xml:space="preserve">⑥  </w:t>
      </w:r>
      <w:r>
        <w:t>数据要素×大赛启动，多部门联合推动数据在多行业应用，激发数据价值释放。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