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生成日期：2026-08-04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《8月新规正式施行：涉及就业、环保、数据安全等领域》</w:t>
      </w:r>
    </w:p>
    <w:p>
      <w:r>
        <w:rPr>
          <w:color w:val="646464"/>
          <w:sz w:val="20"/>
        </w:rPr>
        <w:t>文　　号：暂无</w:t>
        <w:br/>
        <w:t>发文机关：多部门联合</w:t>
        <w:br/>
        <w:t>发文日期：2026-08-01</w:t>
        <w:br/>
        <w:t>原文链接：http://cn.chinagate.cn/news/2026-07/30/content_118625098.shtml</w:t>
      </w:r>
    </w:p>
    <w:p>
      <w:pPr>
        <w:ind w:left="240"/>
      </w:pPr>
      <w:r>
        <w:t>一批涉及就业、环保、数据安全等领域的新规自8月1日起施行。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《互联网用户账号信息管理规定正式施行》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发文日期：2026-08-01</w:t>
        <w:br/>
        <w:t>原文链接：http://m.app.cctv.com/vsetv/detail/C10336/9b5db7347c3b4aab8cb495157479a946/index.shtml</w:t>
      </w:r>
    </w:p>
    <w:p>
      <w:pPr>
        <w:ind w:left="240"/>
      </w:pPr>
      <w:r>
        <w:t>《互联网用户账号信息管理规定》8月1日起施行，规范账号注册使用。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发文日期：2026-07-15</w:t>
        <w:br/>
        <w:t>原文链接：https://www.cac.gov.cn/wxzw/wxfb/A093702index_1.htm</w:t>
      </w:r>
    </w:p>
    <w:p>
      <w:pPr>
        <w:ind w:left="240"/>
      </w:pPr>
      <w:r>
        <w:t>公布2026年5月至6月生成式人工智能服务已备案信息。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发文日期：2026-07-06</w:t>
        <w:br/>
        <w:t>原文链接：https://www.cac.gov.cn/wxzw/wxfb/A093702index_1.htm</w:t>
      </w:r>
    </w:p>
    <w:p>
      <w:pPr>
        <w:ind w:left="240"/>
      </w:pPr>
      <w:r>
        <w:t>印发网络安全标识产品目录（第一批）及实施规则。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《2026年“人工智能+电竞创新应用大赛”正式启动》</w:t>
      </w:r>
    </w:p>
    <w:p>
      <w:r>
        <w:rPr>
          <w:color w:val="646464"/>
          <w:sz w:val="20"/>
        </w:rPr>
        <w:t>文　　号：暂无</w:t>
        <w:br/>
        <w:t>发文机关：广西壮族自治区大数据发展局</w:t>
        <w:br/>
        <w:t>发文日期：2026-07-15</w:t>
      </w:r>
    </w:p>
    <w:p>
      <w:pPr>
        <w:ind w:left="240"/>
      </w:pPr>
      <w:r>
        <w:t>广西启动“人工智能+电竞”创新应用大赛，推动AI应用。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八部门联合印发，规范汽车数据出境安全，促进便利流通。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发文日期：2026-05-21</w:t>
        <w:br/>
        <w:t>原文链接：https://www.gov.cn/lianbo/202605/content_7069803.htm</w:t>
      </w:r>
    </w:p>
    <w:p>
      <w:pPr>
        <w:ind w:left="240"/>
      </w:pPr>
      <w:r>
        <w:t>部署8方面任务，深化数据要素改革，筑牢数字基础设施底座。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发文机关：国家网信办等三部门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三部门联合公布，规范网络数据安全风险评估工作。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《“人工智能+信息通信”创新发展实施意见（2026—2028年）》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发文日期：2026-06-12</w:t>
        <w:br/>
        <w:t>原文链接：https://www.hbqj.gov.cn/sjjhxxhj/zfxxgk/zc/bbmwj/202606/t20260612_5957098.html</w:t>
      </w:r>
    </w:p>
    <w:p>
      <w:pPr>
        <w:ind w:left="240"/>
      </w:pPr>
      <w:r>
        <w:t>构建三级算力设施体系，推动AI与信息通信融合创新。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《关于开展普惠算力赋能中小企业发展专项行动的通知》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发文日期：2026-04-03</w:t>
        <w:br/>
        <w:t>原文链接：https://gyxxh.tj.gov.cn/ZWGK4147/ZCWJ6355/gjjwj/202604/t20260403_7275768.html</w:t>
      </w:r>
    </w:p>
    <w:p>
      <w:pPr>
        <w:ind w:left="240"/>
      </w:pPr>
      <w:r>
        <w:t>提升算力普惠易用水平，降低中小企业用算成本。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《关于开展2026年度苏州市“科创指数惠”（人工智能算力补贴）工作的通知》</w:t>
      </w:r>
    </w:p>
    <w:p>
      <w:r>
        <w:rPr>
          <w:color w:val="646464"/>
          <w:sz w:val="20"/>
        </w:rPr>
        <w:t>文　　号：暂无</w:t>
        <w:br/>
        <w:t>发文机关：苏州市科学技术局</w:t>
        <w:br/>
        <w:t>发文日期：2026-04-08</w:t>
        <w:br/>
        <w:t>原文链接：https://sst.suzhou.gov.cn/ndaservplat/Apps/sme/index.php?s=/Home/Notice/noticeDetail/id/1350</w:t>
      </w:r>
    </w:p>
    <w:p>
      <w:pPr>
        <w:ind w:left="240"/>
      </w:pPr>
      <w:r>
        <w:t>对苏州科技企业按智算租用费30%给予最高200万元补贴。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《关于组织开展2026年人工智能券（算力券）兑付申报的通知》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发文日期：2026-05-01</w:t>
      </w:r>
    </w:p>
    <w:p>
      <w:pPr>
        <w:ind w:left="240"/>
      </w:pPr>
      <w:r>
        <w:t>浙江开展算力券兑付申报，降低算力使用成本。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数据要素市场化改革进入深水区。国家数据局《2026年数字经济发展工作要点》明确提出加快建立全国统一数据产权登记制度，并推动公共数据授权运营价格机制落地。这标志着数据要素改革从顶层设计转向具体操作细则的制定。下一步，各地将陆续出台数据产权登记指引，数据资产入表、数据交易定价等配套规则将加速完善，但数据权属界定与收益分配机制仍将是改革难点。</w:t>
      </w:r>
    </w:p>
    <w:p>
      <w:r>
        <w:rPr>
          <w:b/>
          <w:color w:val="5B6DE4"/>
        </w:rPr>
        <w:t xml:space="preserve">②  </w:t>
      </w:r>
      <w:r>
        <w:t>趋势2（技术路线）：算力政策重心从‘建设’转向‘普惠应用’。工信部连续推出《“人工智能+信息通信”创新发展实施意见》和普惠算力赋能中小企业专项行动，苏州、浙江等地纷纷出台算力补贴、算力券政策。这显示国家正通过需求侧激励手段，解决算力资源分布不均、中小企业用算成本高的问题。预计后续将建立全国统一的算力标识和监测体系，算力互联互通将成为下一阶段建设重点。</w:t>
      </w:r>
    </w:p>
    <w:p>
      <w:r>
        <w:rPr>
          <w:b/>
          <w:color w:val="5B6DE4"/>
        </w:rPr>
        <w:t xml:space="preserve">③  </w:t>
      </w:r>
      <w:r>
        <w:t>趋势3（区域格局）：地方AI政策呈现‘差异化竞争’态势。广西聚焦‘面向东盟’定位，推动“北上广研发+广西集成+东盟应用”路径；苏州、浙江则侧重算力补贴和产业扶持。各地结合自身区位和产业优势制定AI政策，避免同质化竞争。但这也带来跨区域算力调度、数据流通标准不统一的新问题，全国一体化算力网的建设进度将决定区域协同的深度。</w:t>
      </w:r>
    </w:p>
    <w:p>
      <w:r>
        <w:rPr>
          <w:b/>
          <w:color w:val="5B6DE4"/>
        </w:rPr>
        <w:t xml:space="preserve">④  </w:t>
      </w:r>
      <w:r>
        <w:t>趋势4（产业影响）：汽车数据跨境流动规则细化，释放产业利好。工信部等八部门《汽车数据出境安全指引（2026版）》在保障安全前提下提升出境便利化水平，回应了智能网联汽车全球化研发的迫切需求。该指引与《数据出境安全评估办法》等法规形成衔接，为汽车企业提供了明确的操作路径。预计将带动智能驾驶技术跨国研发合作，但企业仍需关注数据分类分级和本地化存储的具体合规要求。</w:t>
      </w:r>
    </w:p>
    <w:p>
      <w:r>
        <w:rPr>
          <w:b/>
          <w:color w:val="5B6DE4"/>
        </w:rPr>
        <w:t xml:space="preserve">⑤  </w:t>
      </w:r>
      <w:r>
        <w:t>趋势5（安全合规）：网络数据安全监管进入‘精细化’阶段。网信办7月密集发布生成式AI备案公告、网络安全标识产品目录、网络数据安全风险评估办法等文件，监管工具日益丰富。特别是网络安全标识制度的落地，将推动安全产品市场规范化。下一步，针对AI大模型、自动驾驶等新场景的专项安全评估标准有望出台，企业合规成本将上升，但市场准入也将更加透明。</w:t>
      </w:r>
    </w:p>
    <w:p>
      <w:r>
        <w:rPr>
          <w:b/>
          <w:color w:val="5B6DE4"/>
        </w:rPr>
        <w:t xml:space="preserve">⑥  </w:t>
      </w:r>
      <w:r>
        <w:t>趋势6（国际比较）：中国AI治理路径与欧美形成鲜明对照。欧盟《人工智能法案》已进入全面实施阶段，采取基于风险的分级监管；美国则通过行政令和行业自律推动AI发展，监管相对宽松；中国采取‘发展+安全’双轮驱动，既通过备案制规范生成式AI，又大力推动算力基础设施和行业应用。中国的优势在于政策执行效率和数据资源规模，但在全球规则制定的话语权上仍面临欧美压力。未来三方在AI安全标准、数据跨境流动规则上的博弈将更加激烈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