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生成日期：2026-09-05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《国家信息化发展报告（2025年）》</w:t>
      </w:r>
    </w:p>
    <w:p>
      <w:r>
        <w:rPr>
          <w:color w:val="646464"/>
          <w:sz w:val="20"/>
        </w:rPr>
        <w:t>文　　号：暂无</w:t>
        <w:br/>
        <w:t>发文机关：国家互联网信息办公室</w:t>
        <w:br/>
        <w:t>发文日期：2026-08-07</w:t>
        <w:br/>
        <w:t>原文链接：https://www.cac.gov.cn/wxzw/wxfb/A093702index_1.htm</w:t>
      </w:r>
    </w:p>
    <w:p>
      <w:pPr>
        <w:ind w:left="240"/>
      </w:pPr>
      <w:r>
        <w:t>全面总结2025年国家信息化发展成效，部署下一阶段重点任务。</w:t>
      </w:r>
    </w:p>
    <w:p>
      <w:pPr>
        <w:spacing w:before="0" w:after="80"/>
        <w:pBdr>
          <w:bottom w:val="single" w:sz="4" w:space="1" w:color="DDDDDD"/>
        </w:pBdr>
      </w:pPr>
    </w:p>
    <w:p>
      <w:r>
        <w:rPr>
          <w:b/>
          <w:sz w:val="24"/>
        </w:rPr>
        <w:t>《工业绿色低碳发展“十五五”规划》</w:t>
      </w:r>
    </w:p>
    <w:p>
      <w:r>
        <w:rPr>
          <w:color w:val="646464"/>
          <w:sz w:val="20"/>
        </w:rPr>
        <w:t>文　　号：工信部规〔2026〕169号</w:t>
        <w:br/>
        <w:t>发文机关：工业和信息化部</w:t>
        <w:br/>
        <w:t>发文日期：2026-07-15</w:t>
        <w:br/>
        <w:t>原文链接：https://www.miit.gov.cn/zwgk/zcwj/wjfb/</w:t>
      </w:r>
    </w:p>
    <w:p>
      <w:pPr>
        <w:ind w:left="240"/>
      </w:pPr>
      <w:r>
        <w:t>规划“十五五”工业绿色低碳发展路径，涉及数字化绿色化协同转型。</w:t>
      </w:r>
    </w:p>
    <w:p>
      <w:pPr>
        <w:spacing w:before="0" w:after="80"/>
        <w:pBdr>
          <w:bottom w:val="single" w:sz="4" w:space="1" w:color="DDDDDD"/>
        </w:pBdr>
      </w:pPr>
    </w:p>
    <w:p>
      <w:r>
        <w:rPr>
          <w:b/>
          <w:sz w:val="24"/>
        </w:rPr>
        <w:t>《人工智能拟人化互动服务管理暂行办法》</w:t>
      </w:r>
    </w:p>
    <w:p>
      <w:r>
        <w:rPr>
          <w:color w:val="646464"/>
          <w:sz w:val="20"/>
        </w:rPr>
        <w:t>文　　号：国家网信办等五部门令第21号</w:t>
        <w:br/>
        <w:t>发文机关：国家互联网信息办公室、国家发展改革委、工业和信息化部、公安部、市场监管总局</w:t>
        <w:br/>
        <w:t>发文日期：2026-07-15</w:t>
        <w:br/>
        <w:t>原文链接：https://www.gov.cn/gongbao/2026/issue_12806/202606/content_7072472.html?webview_progress_bar=1&amp;push_animated=1&amp;show_loading=0&amp;theme=light</w:t>
      </w:r>
    </w:p>
    <w:p>
      <w:pPr>
        <w:ind w:left="240"/>
      </w:pPr>
      <w:r>
        <w:t>规范人工智能拟人化互动服务，明确准入要求与用户权益保护机制。</w:t>
      </w:r>
    </w:p>
    <w:p>
      <w:pPr>
        <w:spacing w:before="0" w:after="80"/>
        <w:pBdr>
          <w:bottom w:val="single" w:sz="4" w:space="1" w:color="DDDDDD"/>
        </w:pBdr>
      </w:pPr>
    </w:p>
    <w:p/>
    <w:p>
      <w:pPr>
        <w:pStyle w:val="Heading1"/>
      </w:pPr>
      <w:r>
        <w:rPr>
          <w:color w:val="5B6DE4"/>
          <w:sz w:val="28"/>
        </w:rPr>
        <w:t>三、今年以来主要政策</w:t>
      </w:r>
    </w:p>
    <w:p>
      <w:r>
        <w:rPr>
          <w:b/>
          <w:sz w:val="24"/>
        </w:rPr>
        <w:t>《小型个人信息处理者个人信息保护简化措施规定》</w:t>
      </w:r>
    </w:p>
    <w:p>
      <w:r>
        <w:rPr>
          <w:color w:val="646464"/>
          <w:sz w:val="20"/>
        </w:rPr>
        <w:t>文　　号：暂无</w:t>
        <w:br/>
        <w:t>发文机关：国家网信办、公安部</w:t>
        <w:br/>
        <w:t>发文日期：2026-07-24</w:t>
        <w:br/>
        <w:t>原文链接：https://www.cac.gov.cn/wxzw/wxfb/A093702index_1.htm</w:t>
      </w:r>
    </w:p>
    <w:p>
      <w:pPr>
        <w:ind w:left="240"/>
      </w:pPr>
      <w:r>
        <w:t>为小型个人信息处理者提供简化合规措施，平衡保护与发展。</w:t>
      </w:r>
    </w:p>
    <w:p>
      <w:pPr>
        <w:spacing w:before="0" w:after="80"/>
        <w:pBdr>
          <w:bottom w:val="single" w:sz="4" w:space="1" w:color="DDDDDD"/>
        </w:pBdr>
      </w:pPr>
    </w:p>
    <w:p>
      <w:r>
        <w:rPr>
          <w:b/>
          <w:sz w:val="24"/>
        </w:rPr>
        <w:t>《修改中华人民共和国网络安全法的决定》</w:t>
      </w:r>
    </w:p>
    <w:p>
      <w:r>
        <w:rPr>
          <w:color w:val="646464"/>
          <w:sz w:val="20"/>
        </w:rPr>
        <w:t>文　　号：暂无</w:t>
        <w:br/>
        <w:t>发文机关：全国人民代表大会常务委员会</w:t>
        <w:br/>
        <w:t>发文日期：2026-01-01</w:t>
      </w:r>
    </w:p>
    <w:p>
      <w:pPr>
        <w:ind w:left="240"/>
      </w:pPr>
      <w:r>
        <w:t>新修改的《网络安全法》自2026年1月1日起施行，强化法律责任。</w:t>
      </w:r>
    </w:p>
    <w:p>
      <w:pPr>
        <w:spacing w:before="0" w:after="80"/>
        <w:pBdr>
          <w:bottom w:val="single" w:sz="4" w:space="1" w:color="DDDDDD"/>
        </w:pBdr>
      </w:pPr>
    </w:p>
    <w:p>
      <w:r>
        <w:rPr>
          <w:b/>
          <w:sz w:val="24"/>
        </w:rPr>
        <w:t>《人工智能大模型系列国家标准实施》</w:t>
      </w:r>
    </w:p>
    <w:p>
      <w:r>
        <w:rPr>
          <w:color w:val="646464"/>
          <w:sz w:val="20"/>
        </w:rPr>
        <w:t>文　　号：暂无</w:t>
        <w:br/>
        <w:t>发文机关：国家标准化管理委员会</w:t>
        <w:br/>
        <w:t>发文日期：2026-01-01</w:t>
      </w:r>
    </w:p>
    <w:p>
      <w:pPr>
        <w:ind w:left="240"/>
      </w:pPr>
      <w:r>
        <w:t>人工智能大模型系列国家标准正式实施，规范技术研发与应用。</w:t>
      </w:r>
    </w:p>
    <w:p>
      <w:pPr>
        <w:spacing w:before="0" w:after="80"/>
        <w:pBdr>
          <w:bottom w:val="single" w:sz="4" w:space="1" w:color="DDDDDD"/>
        </w:pBdr>
      </w:pPr>
    </w:p>
    <w:p>
      <w:r>
        <w:rPr>
          <w:b/>
          <w:sz w:val="24"/>
        </w:rPr>
        <w:t>《深化互联网协议第六版（IPv6）技术创新和融合应用实施方案》</w:t>
      </w:r>
    </w:p>
    <w:p>
      <w:r>
        <w:rPr>
          <w:color w:val="646464"/>
          <w:sz w:val="20"/>
        </w:rPr>
        <w:t>文　　号：暂无</w:t>
        <w:br/>
        <w:t>发文机关：国家互联网信息办公室等</w:t>
        <w:br/>
        <w:t>发文日期：2026-07-24</w:t>
        <w:br/>
        <w:t>原文链接：https://www.cac.gov.cn/wxzw/wxfb/A093702index_1.htm</w:t>
      </w:r>
    </w:p>
    <w:p>
      <w:pPr>
        <w:ind w:left="240"/>
      </w:pPr>
      <w:r>
        <w:t>深化IPv6技术创新与融合应用，夯实数字中国网络底座。</w:t>
      </w:r>
    </w:p>
    <w:p>
      <w:pPr>
        <w:spacing w:before="0" w:after="80"/>
        <w:pBdr>
          <w:bottom w:val="single" w:sz="4" w:space="1" w:color="DDDDDD"/>
        </w:pBdr>
      </w:pPr>
    </w:p>
    <w:p>
      <w:r>
        <w:rPr>
          <w:b/>
          <w:sz w:val="24"/>
        </w:rPr>
        <w:t>《关键信息基础设施安全保护条例》</w:t>
      </w:r>
    </w:p>
    <w:p>
      <w:r>
        <w:rPr>
          <w:color w:val="646464"/>
          <w:sz w:val="20"/>
        </w:rPr>
        <w:t>文　　号：暂无</w:t>
        <w:br/>
        <w:t>发文机关：国务院</w:t>
        <w:br/>
        <w:t>发文日期：2026-02-03</w:t>
        <w:br/>
        <w:t>原文链接：https://www.miit.gov.cn/gyhxxhb/jgsj/wlaqglj/zcjd/index.html</w:t>
      </w:r>
    </w:p>
    <w:p>
      <w:pPr>
        <w:ind w:left="240"/>
      </w:pPr>
      <w:r>
        <w:t>司法部、网信办、工信部、公安部就关基条例答记者问，明确实施要点。</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国家网信办在2026年8月密集发布《促进网信企业高质量发展行动计划（2026-2030年）》及配套解读，将“网信企业”作为独立政策客体进行系统性制度设计。逻辑：这标志着监管思路从单一合规约束转向“监管+扶持”双轮驱动，意图通过培育头部网信企业增强数字产业国际竞争力，同时将安全治理要求内嵌于企业发展评价体系。研判：后续可能出台网信企业上市融资、跨境数据流动等方面的专项便利政策，但合规要求将同步提高，企业需提前布局安全能力建设。</w:t>
      </w:r>
    </w:p>
    <w:p>
      <w:r>
        <w:rPr>
          <w:b/>
          <w:color w:val="5B6DE4"/>
        </w:rPr>
        <w:t xml:space="preserve">②  </w:t>
      </w:r>
      <w:r>
        <w:t>现象：《人工智能拟人化互动服务管理暂行办法》于2026年7月15日正式施行，这是全球首部针对AI拟人化交互场景的专项部门规章。逻辑：随着情感陪伴类大模型产品爆发式增长，深度伪造、情感操控、未成年人保护等风险凸显，监管层选择以“场景化立法”填补《生成式AI管理办法》的空白地带。研判：该办法将倒逼企业建立拟人化服务标识、用户情感依赖预警等机制，下一步可能向智能语音、虚拟现实等交互形态延伸监管。</w:t>
      </w:r>
    </w:p>
    <w:p>
      <w:r>
        <w:rPr>
          <w:b/>
          <w:color w:val="5B6DE4"/>
        </w:rPr>
        <w:t xml:space="preserve">③  </w:t>
      </w:r>
      <w:r>
        <w:t>现象：国家数据局在2026年8月31日举办“数据大讲堂”聚焦“通用智能前沿发展”，刘烈宏局长同期主持召开数字经济民营企业座谈会。逻辑：数据局成立以来工作重心正从数据基础制度搭建转向推动数据智能技术落地，通用智能被视为释放数据要素价值的关键路径，而民营企业是数据创新应用的主力军。研判：预计年内将出台数据标注、数据集质量分级等基础性标准，并可能推出面向AI训练数据的专项供给政策，值得数据服务商关注。</w:t>
      </w:r>
    </w:p>
    <w:p>
      <w:r>
        <w:rPr>
          <w:b/>
          <w:color w:val="5B6DE4"/>
        </w:rPr>
        <w:t xml:space="preserve">④  </w:t>
      </w:r>
      <w:r>
        <w:t>现象：工信部2026年7月印发《工业绿色低碳发展“十五五”规划》，将数字化绿色化协同转型作为重要章节。逻辑：在“双碳”目标与数字经济双重要求下，工业领域政策正从单一追求产能转向“绿色+智能”双指标约束，5G工厂、工业互联网+绿色制造成为政策扶持重点。研判：后续将配套绿色数据中心评价、算力能效标杆等细化指标，江苏、广东等工业大省可能率先出台省级实施方案，相关技改补贴项目将增多。</w:t>
      </w:r>
    </w:p>
    <w:p>
      <w:r>
        <w:rPr>
          <w:b/>
          <w:color w:val="5B6DE4"/>
        </w:rPr>
        <w:t xml:space="preserve">⑤  </w:t>
      </w:r>
      <w:r>
        <w:t>现象：2026年APEC数字周期间，国家网信办举办系列活动参与国际数字治理对话，同时国内《网络安全标识管理办法》等新规密集落地。逻辑：中国正采取“内外有别、以我为主”的数字治理策略——对内加快建立安全可信的制度工具，对外积极输出治理理念以争取数字规则话语权。研判：网络安全标识制度可能与等保2.0、关基保护形成联动，成为关键信息基础设施采购的准入门槛，相关安全厂商将迎来合规需求释放期。</w:t>
      </w:r>
    </w:p>
    <w:p>
      <w:r>
        <w:rPr>
          <w:b/>
          <w:color w:val="5B6DE4"/>
        </w:rPr>
        <w:t xml:space="preserve">⑥  </w:t>
      </w:r>
      <w:r>
        <w:t>现象：国际比较看，欧盟《人工智能法案》分阶段合规期限在2026年持续生效，美国AI行政令后各州立法加速，日本数字厅推进AI制度研究，而中国以部门规章+国家标准组合拳快速落地。逻辑：中国采取“中央集中立法+行业场景细化”的推进节奏，较欧盟的横向统一立法更灵活，较美国的分散立法更具执行力，但企业面临多部门规章叠加的合规成本。研判：中国AI治理正形成自身独特路径，未来需关注中美欧三方在AI安全评估互认、数据跨境流动规则上的博弈，出海企业应建立分区域合规体系。</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