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生成日期：2026-07-18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《人工智能拟人化互动服务管理暂行办法》</w:t>
      </w:r>
    </w:p>
    <w:p>
      <w:r>
        <w:rPr>
          <w:color w:val="646464"/>
          <w:sz w:val="20"/>
        </w:rPr>
        <w:t>文　　号：国家网信办等五部门令第21号</w:t>
        <w:br/>
        <w:t>发文机关：国家网信办、国家发展改革委、工业和信息化部、公安部、市场监管总局</w:t>
        <w:br/>
        <w:t>发文日期：2026-07-15</w:t>
        <w:br/>
        <w:t>原文链接：https://www.gov.cn/gongbao/2026/issue_12806/202606/content_7072472.html</w:t>
      </w:r>
    </w:p>
    <w:p>
      <w:pPr>
        <w:ind w:left="240"/>
      </w:pPr>
      <w:r>
        <w:t>规范AI拟人化互动服务，明确服务提供者责任。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《高质量数据集建设现场会在广州召开》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发文日期：2026-07-08</w:t>
        <w:br/>
        <w:t>原文链接：https://www.ndrc.gov.cn/fzggw/wld/llh/zyhd/index.html</w:t>
      </w:r>
    </w:p>
    <w:p>
      <w:pPr>
        <w:ind w:left="240"/>
      </w:pPr>
      <w:r>
        <w:t>国家数据局推动高质量数据集建设，赋能AI发展。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《网络安全等级保护数据安全基本要求》</w:t>
      </w:r>
    </w:p>
    <w:p>
      <w:r>
        <w:rPr>
          <w:color w:val="646464"/>
          <w:sz w:val="20"/>
        </w:rPr>
        <w:t>文　　号：GA/T 2380—2026</w:t>
        <w:br/>
        <w:t>发文机关：公安部</w:t>
        <w:br/>
        <w:t>发文日期：2026-06-01</w:t>
        <w:br/>
        <w:t>原文链接：https://mp.weixin.qq.com/s?__biz=MzA3MzM5MDkzMQ==&amp;mid=2650531108&amp;idx=4&amp;sn=a212c82513e3d08160a10bda8f8d4d85&amp;chksm=869818990e2a57f80ddf0eafc14eb1a6a8d5cb2ec5467a315984d05f9da7f71aadc134d621e1&amp;scene=27</w:t>
      </w:r>
    </w:p>
    <w:p>
      <w:pPr>
        <w:ind w:left="240"/>
      </w:pPr>
      <w:r>
        <w:t>等级保护制度下数据安全具体要求正式实施。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《全国数据标准化技术委员会2026年第一次标准周活动》</w:t>
      </w:r>
    </w:p>
    <w:p>
      <w:r>
        <w:rPr>
          <w:color w:val="646464"/>
          <w:sz w:val="20"/>
        </w:rPr>
        <w:t>文　　号：暂无</w:t>
        <w:br/>
        <w:t>发文机关：全国数据标准化技术委员会</w:t>
        <w:br/>
        <w:t>发文日期：2026-05-20</w:t>
        <w:br/>
        <w:t>原文链接：https://www.ndrc.gov.cn/fzggw/wld/llh/zyhd/index.html</w:t>
      </w:r>
    </w:p>
    <w:p>
      <w:pPr>
        <w:ind w:left="240"/>
      </w:pPr>
      <w:r>
        <w:t>推进数据领域国家标准制定，完善数据治理体系。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号：工信部联信管〔2026〕159号</w:t>
        <w:br/>
        <w:t>发文机关：工业和信息化部、中央网信办、国家发展改革委、国家数据局</w:t>
        <w:br/>
        <w:t>发文日期：2026-07-01</w:t>
        <w:br/>
        <w:t>原文链接：https://www.miit.gov.cn/zwgk/zcwj/</w:t>
      </w:r>
    </w:p>
    <w:p>
      <w:pPr>
        <w:ind w:left="240"/>
      </w:pPr>
      <w:r>
        <w:t>四部门联合发文，推动互联网基础资源高质量发展。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《工业和信息化部公告2026年第15号》</w:t>
      </w:r>
    </w:p>
    <w:p>
      <w:r>
        <w:rPr>
          <w:color w:val="646464"/>
          <w:sz w:val="20"/>
        </w:rPr>
        <w:t>文　　号：2026年第15号</w:t>
        <w:br/>
        <w:t>发文机关：工业和信息化部</w:t>
        <w:br/>
        <w:t>发文日期：2026-07-03</w:t>
        <w:br/>
        <w:t>原文链接：https://www.miit.gov.cn/xbymdz/zwgk/index.html</w:t>
      </w:r>
    </w:p>
    <w:p>
      <w:pPr>
        <w:ind w:left="240"/>
      </w:pPr>
      <w:r>
        <w:t>工信部发布新一批行业标准或管理措施。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《关于推动工业互联网高质量发展的实施意见》</w:t>
      </w:r>
    </w:p>
    <w:p>
      <w:r>
        <w:rPr>
          <w:color w:val="646464"/>
          <w:sz w:val="20"/>
        </w:rPr>
        <w:t>文　　号：工信部联信管〔2026〕152号</w:t>
        <w:br/>
        <w:t>发文机关：工业和信息化部等八部门</w:t>
        <w:br/>
        <w:t>发文日期：2026-06-30</w:t>
        <w:br/>
        <w:t>原文链接：https://www.miit.gov.cn/zwgk/zcwj/</w:t>
      </w:r>
    </w:p>
    <w:p>
      <w:pPr>
        <w:ind w:left="240"/>
      </w:pPr>
      <w:r>
        <w:t>八部门联合印发，推动工业互联网高质量发展。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7月1日，工信部等四部门联合发布《关于推动互联网基础资源高质量发展的指导意见》，这是首个针对互联网基础资源（如域名、IP地址）的系统性政策。逻辑：该文件旨在强化我国互联网底层资源的自主可控与安全韧性，应对全球地缘政治风险对数字基础设施的冲击。研判：预计后续将出台配套的IPv6部署、根服务器镜像节点建设等细化方案，并可能将互联网基础资源纳入关键信息基础设施保护范围。</w:t>
      </w:r>
    </w:p>
    <w:p>
      <w:r>
        <w:rPr>
          <w:b/>
          <w:color w:val="5B6DE4"/>
        </w:rPr>
        <w:t xml:space="preserve">②  </w:t>
      </w:r>
      <w:r>
        <w:t>现象：2026年7月15日，《人工智能拟人化互动服务管理暂行办法》正式施行，这是全球首部专门针对AI拟人化交互（如虚拟伴侣、情感陪伴机器人）的监管法规。逻辑：该办法旨在防范AI拟人化服务可能引发的用户沉迷、隐私泄露、情感操控等风险，体现了“技术向善”的治理理念。研判：该办法将倒逼企业建立更完善的内容审核与用户保护机制，同时可能催生行业自律标准，为后续AI情感计算领域的立法提供参考。</w:t>
      </w:r>
    </w:p>
    <w:p>
      <w:r>
        <w:rPr>
          <w:b/>
          <w:color w:val="5B6DE4"/>
        </w:rPr>
        <w:t xml:space="preserve">③  </w:t>
      </w:r>
      <w:r>
        <w:t>现象：2026年6月1日，公安部发布的《网络安全等级保护数据安全基本要求》正式实施，将数据安全要求嵌入等级保护制度。逻辑：该标准明确了不同安全等级下数据收集、存储、传输、销毁的全生命周期安全要求，填补了等保2.0在数据安全层面的操作细则空白。研判：此举将推动企业加大数据安全技术投入，尤其是金融、医疗、政务等高敏感领域，同时可能引发数据安全合规服务市场的快速增长。</w:t>
      </w:r>
    </w:p>
    <w:p>
      <w:r>
        <w:rPr>
          <w:b/>
          <w:color w:val="5B6DE4"/>
        </w:rPr>
        <w:t xml:space="preserve">④  </w:t>
      </w:r>
      <w:r>
        <w:t>现象：2026年5月，国家数据局在广州召开高质量数据集建设现场会，强调工业数据开发利用是推动AI赋能制造业的关键。逻辑：高质量数据集是训练行业大模型的基础，但当前工业数据存在碎片化、标注成本高、共享意愿低等问题。研判：国家数据局可能推出工业数据共享激励机制和标准化标注工具，并优先在汽车、电子、钢铁等行业试点，形成可复制的数据供给模式。</w:t>
      </w:r>
    </w:p>
    <w:p>
      <w:r>
        <w:rPr>
          <w:b/>
          <w:color w:val="5B6DE4"/>
        </w:rPr>
        <w:t xml:space="preserve">⑤  </w:t>
      </w:r>
      <w:r>
        <w:t>现象：2026年6月30日，工信部等八部门联合发布《关于推动工业互联网高质量发展的实施意见》，提出到2028年建成一批跨行业跨领域工业互联网平台。逻辑：该文件是对“十四五”工业互联网规划的延续与升级，强调平台化、智能化、安全化三位一体发展。研判：未来两年，工业互联网平台将加速与AI大模型融合，形成“工业大脑”类产品，同时平台安全防护将成为企业上云的核心考量。</w:t>
      </w:r>
    </w:p>
    <w:p>
      <w:r>
        <w:rPr>
          <w:b/>
          <w:color w:val="5B6DE4"/>
        </w:rPr>
        <w:t xml:space="preserve">⑥  </w:t>
      </w:r>
      <w:r>
        <w:t>国际比较：中国2026年密集出台AI拟人化服务监管、数据安全等级保护等法规，而欧盟《人工智能法案》于2026年8月全面生效，美国则通过行政令推动AI安全测试。异同：中国侧重对具体应用场景（如拟人化交互）的快速立法，欧盟采用风险分级框架，美国则强调企业自愿承诺与政府评估结合。启示：中国模式在应对新兴风险时反应更快，但可能面临规则碎片化问题；欧盟的体系化立法更利于跨境合规，但灵活性不足。未来全球AI治理可能出现“中国场景驱动、欧盟风险驱动、美国市场驱动”的三元格局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