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生成日期：2026-07-02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《国家网信办等五部门联合公布《互联网信息内容多渠道分发服务管理规定》》</w:t>
      </w:r>
    </w:p>
    <w:p>
      <w:r>
        <w:rPr>
          <w:color w:val="646464"/>
          <w:sz w:val="20"/>
        </w:rPr>
        <w:t>文　　号：暂无</w:t>
        <w:br/>
        <w:t>发文机关：国家网信办等五部门</w:t>
        <w:br/>
        <w:t>发文日期：2026-06-08</w:t>
        <w:br/>
        <w:t>原文链接：https://www.cac.gov.cn/wxzw/wxfb/A093702index_1.htm</w:t>
      </w:r>
    </w:p>
    <w:p>
      <w:pPr>
        <w:ind w:left="240"/>
      </w:pPr>
      <w:r>
        <w:t>规范互联网信息内容多渠道分发服务管理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《促进平台经济大中小企业协同发展行动方案》</w:t>
      </w:r>
    </w:p>
    <w:p>
      <w:r>
        <w:rPr>
          <w:color w:val="646464"/>
          <w:sz w:val="20"/>
        </w:rPr>
        <w:t>文　　号：工信部联信管〔2026〕119号</w:t>
        <w:br/>
        <w:t>发文机关：工业和信息化部</w:t>
        <w:br/>
        <w:t>发文日期：2026-06-01</w:t>
        <w:br/>
        <w:t>原文链接：https://www.miit.gov.cn/zwgk/zcwj/</w:t>
      </w:r>
    </w:p>
    <w:p>
      <w:pPr>
        <w:ind w:left="240"/>
      </w:pPr>
      <w:r>
        <w:t>促进平台经济大中小企业协同发展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《刘烈宏赴温州市、深圳市、东莞市调研数据要素市场化配置改革工作》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发文日期：2026-06-22</w:t>
        <w:br/>
        <w:t>原文链接：https://www.ndrc.gov.cn/fzggw/wld/llh/zyhd/index.html</w:t>
      </w:r>
    </w:p>
    <w:p>
      <w:pPr>
        <w:ind w:left="240"/>
      </w:pPr>
      <w:r>
        <w:t>调研数据要素市场化配置改革工作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《2026年“数据要素×”大赛启动》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发文日期：2026-05-25</w:t>
        <w:br/>
        <w:t>原文链接：https://www.ndrc.gov.cn/fzggw/wld/llh/zyhd/index.html</w:t>
      </w:r>
    </w:p>
    <w:p>
      <w:pPr>
        <w:ind w:left="240"/>
      </w:pPr>
      <w:r>
        <w:t>启动2026年数据要素大赛，推动数据应用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《《人工智能应用伦理指南》发布》</w:t>
      </w:r>
    </w:p>
    <w:p>
      <w:r>
        <w:rPr>
          <w:color w:val="646464"/>
          <w:sz w:val="20"/>
        </w:rPr>
        <w:t>文　　号：暂无</w:t>
        <w:br/>
        <w:t>发文机关：中央网信办</w:t>
        <w:br/>
        <w:t>发文日期：2026-05-29</w:t>
        <w:br/>
        <w:t>原文链接：https://www.cac.gov.cn/wxzw/wxfb/A093702index_1.htm</w:t>
      </w:r>
    </w:p>
    <w:p>
      <w:pPr>
        <w:ind w:left="240"/>
      </w:pPr>
      <w:r>
        <w:t>发布人工智能应用伦理指南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《2026年提升全民数字素养与技能工作要点》</w:t>
      </w:r>
    </w:p>
    <w:p>
      <w:r>
        <w:rPr>
          <w:color w:val="646464"/>
          <w:sz w:val="20"/>
        </w:rPr>
        <w:t>文　　号：暂无</w:t>
        <w:br/>
        <w:t>发文机关：中央网信办等四部门</w:t>
        <w:br/>
        <w:t>发文日期：2026-05-29</w:t>
        <w:br/>
        <w:t>原文链接：https://www.cac.gov.cn/wxzw/wxfb/A093702index_1.htm</w:t>
      </w:r>
    </w:p>
    <w:p>
      <w:pPr>
        <w:ind w:left="240"/>
      </w:pPr>
      <w:r>
        <w:t>印发2026年提升全民数字素养与技能工作要点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《汽车数据出境安全指引(2026版)》</w:t>
      </w:r>
    </w:p>
    <w:p>
      <w:r>
        <w:rPr>
          <w:color w:val="646464"/>
          <w:sz w:val="20"/>
        </w:rPr>
        <w:t>文　　号：暂无</w:t>
        <w:br/>
        <w:t>发文机关：工信部等八部门</w:t>
        <w:br/>
        <w:t>发文日期：2026-02-04</w:t>
      </w:r>
    </w:p>
    <w:p>
      <w:pPr>
        <w:ind w:left="240"/>
      </w:pPr>
      <w:r>
        <w:t>推动汽车数据高效便利安全跨境流动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《推动工业互联网平台高质量发展行动方案(2026—2028年)》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发文日期：2026-01-19</w:t>
        <w:br/>
        <w:t>原文链接：https://www.miiteec.org.cn/news_list?type=3</w:t>
      </w:r>
    </w:p>
    <w:p>
      <w:pPr>
        <w:ind w:left="240"/>
      </w:pPr>
      <w:r>
        <w:t>推动工业互联网平台高质量发展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《“人工智能+制造”专项行动实施意见》</w:t>
      </w:r>
    </w:p>
    <w:p>
      <w:r>
        <w:rPr>
          <w:color w:val="646464"/>
          <w:sz w:val="20"/>
        </w:rPr>
        <w:t>文　　号：暂无</w:t>
        <w:br/>
        <w:t>发文机关：八部门</w:t>
        <w:br/>
        <w:t>发文日期：2026-01-13</w:t>
        <w:br/>
        <w:t>原文链接：https://www.miiteec.org.cn/news_list?type=3</w:t>
      </w:r>
    </w:p>
    <w:p>
      <w:pPr>
        <w:ind w:left="240"/>
      </w:pPr>
      <w:r>
        <w:t>推动人工智能与制造业深度融合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《关于加快招标投标领域人工智能推广应用的实施意见》</w:t>
      </w:r>
    </w:p>
    <w:p>
      <w:r>
        <w:rPr>
          <w:color w:val="646464"/>
          <w:sz w:val="20"/>
        </w:rPr>
        <w:t>文　　号：发改法规〔2026〕</w:t>
        <w:br/>
        <w:t>发文机关：国家发展改革委</w:t>
        <w:br/>
        <w:t>发文日期：2026-03-11</w:t>
      </w:r>
    </w:p>
    <w:p>
      <w:pPr>
        <w:ind w:left="240"/>
      </w:pPr>
      <w:r>
        <w:t>加快招标投标领域人工智能推广应用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《2026年“模数共振”行动通知》</w:t>
      </w:r>
    </w:p>
    <w:p>
      <w:r>
        <w:rPr>
          <w:color w:val="646464"/>
          <w:sz w:val="20"/>
        </w:rPr>
        <w:t>文　　号：暂无</w:t>
        <w:br/>
        <w:t>发文机关：工业和信息化部、国家数据局</w:t>
        <w:br/>
        <w:t>发文日期：2026-04-28</w:t>
        <w:br/>
        <w:t>原文链接：http://xxzx.mwr.gov.cn/xxhhygl/bwdt/202604/t20260430_2109346.html</w:t>
      </w:r>
    </w:p>
    <w:p>
      <w:pPr>
        <w:ind w:left="240"/>
      </w:pPr>
      <w:r>
        <w:t>推动人工智能模型与数据资源协同互促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：数据要素市场化配置改革进入深水区。现象：国家数据局局长刘烈宏6月赴温州、深圳、东莞调研数据要素市场化配置改革，并启动2026年“数据要素×”大赛。逻辑：调研聚焦地方实践中的堵点，如数据确权、定价、流通机制，旨在为全国统一数据要素市场探路。大赛则通过场景驱动，加速数据与实体经济融合。研判：下半年可能出台数据要素基础制度配套细则，重点解决公共数据授权运营和行业数据流通标准问题，地方试点将加速扩围。</w:t>
      </w:r>
    </w:p>
    <w:p>
      <w:r>
        <w:rPr>
          <w:b/>
          <w:color w:val="5B6DE4"/>
        </w:rPr>
        <w:t xml:space="preserve">②  </w:t>
      </w:r>
      <w:r>
        <w:t>趋势2：人工智能安全治理标准体系加速构建。现象：工信部6月批准《人工智能安全治理术语》等680项行业标准，网信办5月发布《人工智能应用伦理指南》。逻辑：随着大模型应用爆发，安全与伦理风险凸显，标准化工作从术语定义到伦理规范全面铺开，为监管提供技术依据。研判：2026年下半年将密集出台AI安全评估、算法备案等配套标准，企业需提前布局合规能力，尤其是生成式AI的内容标识和溯源要求。</w:t>
      </w:r>
    </w:p>
    <w:p>
      <w:r>
        <w:rPr>
          <w:b/>
          <w:color w:val="5B6DE4"/>
        </w:rPr>
        <w:t xml:space="preserve">③  </w:t>
      </w:r>
      <w:r>
        <w:t>趋势3：工业互联网与人工智能深度融合催生“智造”新范式。现象：八部门联合印发《“人工智能+制造”专项行动实施意见》，工信部同步推进“模数共振”行动。逻辑：政策旨在打通工业数据与AI模型之间的壁垒，通过“模数共振”促进模型训练与数据供给协同，解决工业AI落地难、数据孤岛问题。研判：未来两年将涌现一批行业级工业大模型，重点在质检、排产、设备预测性维护等场景突破，但中小企业数据基础薄弱可能成为瓶颈。</w:t>
      </w:r>
    </w:p>
    <w:p>
      <w:r>
        <w:rPr>
          <w:b/>
          <w:color w:val="5B6DE4"/>
        </w:rPr>
        <w:t xml:space="preserve">④  </w:t>
      </w:r>
      <w:r>
        <w:t>趋势4：汽车数据跨境流动规则率先破题。现象：八部门2月联合印发《汽车数据出境安全指引(2026版)》，明确汽车数据出境便利化机制。逻辑：汽车行业全球化程度高，数据跨境需求迫切，该指引在保障安全前提下简化流程，为其他行业数据跨境提供范本。研判：预计2026年下半年将出台更多行业数据跨境专项指引，如金融、医疗领域，同时推动与主要贸易伙伴的数据跨境互认机制。</w:t>
      </w:r>
    </w:p>
    <w:p>
      <w:r>
        <w:rPr>
          <w:b/>
          <w:color w:val="5B6DE4"/>
        </w:rPr>
        <w:t xml:space="preserve">⑤  </w:t>
      </w:r>
      <w:r>
        <w:t>趋势5：地方数字基础设施规划密集落地，算力布局从“东数西算”向“智算优先”演进。现象：天津、贵阳、青岛等地纷纷发布算力或数字基础设施规划，均强调智能算力建设。逻辑：大模型训练对智能算力需求激增，地方通过政策引导算力结构从通用算力向智算倾斜，同时推动算力网络化调度。研判：2026年下半年可能出现智算中心建设过热风险，需警惕重复投资和资源闲置，国家层面或出台智算中心建设指南和能耗标准。</w:t>
      </w:r>
    </w:p>
    <w:p>
      <w:r>
        <w:rPr>
          <w:b/>
          <w:color w:val="5B6DE4"/>
        </w:rPr>
        <w:t xml:space="preserve">⑥  </w:t>
      </w:r>
      <w:r>
        <w:t>趋势6（国际比较）：中国AI治理走“标准先行、场景驱动”路径，与欧盟“风险分级、严格合规”模式形成对照。现象：中国密集发布AI安全治理术语、应用伦理指南等行业标准，欧盟则持续推进《人工智能法案》实施，要求高风险AI系统进行合格评定。逻辑：中国侧重通过标准化引导产业自律，降低企业合规成本，加速AI应用落地；欧盟强调以风险分级为基础的法律强制力，保护基本权利。研判：两种模式各有优劣，中国模式利于产业快速迭代，但可能面临伦理争议；欧盟模式合规成本高，但更易获得公众信任。未来中美欧三方可能在AI安全基准、跨境数据流动规则上展开博弈与协调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