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生成日期：2026-10-08　　数据 · 算力 · 信息化</w:t>
      </w:r>
    </w:p>
    <w:p/>
    <w:p>
      <w:pPr>
        <w:pStyle w:val="Heading1"/>
      </w:pPr>
      <w:r>
        <w:rPr>
          <w:color w:val="5B6DE4"/>
          <w:sz w:val="28"/>
        </w:rPr>
        <w:t>一、过去 24 小时关键政策</w:t>
      </w:r>
    </w:p>
    <w:p/>
    <w:p>
      <w:pPr>
        <w:pStyle w:val="Heading1"/>
      </w:pPr>
      <w:r>
        <w:rPr>
          <w:color w:val="5B6DE4"/>
          <w:sz w:val="28"/>
        </w:rPr>
        <w:t>二、过去一个月主要政策动向</w:t>
      </w:r>
    </w:p>
    <w:p>
      <w:r>
        <w:rPr>
          <w:b/>
          <w:sz w:val="24"/>
        </w:rPr>
        <w:t>《促进网信企业高质量发展行动计划（2026-2030年）》</w:t>
      </w:r>
    </w:p>
    <w:p>
      <w:r>
        <w:rPr>
          <w:color w:val="646464"/>
          <w:sz w:val="20"/>
        </w:rPr>
        <w:t>文　　号：暂无</w:t>
        <w:br/>
        <w:t>发文机关：中央网络安全和信息化委员会办公室</w:t>
        <w:br/>
        <w:t>发文日期：2026-08-21</w:t>
        <w:br/>
        <w:t>原文链接：https://www.cac.gov.cn/wxzw/zcfg/zcwj/A09370306index_1.htm</w:t>
      </w:r>
    </w:p>
    <w:p>
      <w:pPr>
        <w:ind w:left="240"/>
      </w:pPr>
      <w:r>
        <w:t>面向网信企业部署高质量发展路径，涉及数据要素、AI与安全产业</w:t>
      </w:r>
    </w:p>
    <w:p>
      <w:pPr>
        <w:spacing w:before="0" w:after="80"/>
        <w:pBdr>
          <w:bottom w:val="single" w:sz="4" w:space="1" w:color="DDDDDD"/>
        </w:pBdr>
      </w:pPr>
    </w:p>
    <w:p>
      <w:r>
        <w:rPr>
          <w:b/>
          <w:sz w:val="24"/>
        </w:rPr>
        <w:t>《促进数字化绿色化协同转型发展实施方案（2026-2030年）》</w:t>
      </w:r>
    </w:p>
    <w:p>
      <w:r>
        <w:rPr>
          <w:color w:val="646464"/>
          <w:sz w:val="20"/>
        </w:rPr>
        <w:t>文　　号：暂无</w:t>
        <w:br/>
        <w:t>发文机关：中央网络安全和信息化委员会办公室</w:t>
        <w:br/>
        <w:t>发文日期：2026-09-04</w:t>
        <w:br/>
        <w:t>原文链接：https://www.cac.gov.cn/wxzw/zcfg/zcwj/A09370306index_1.htm</w:t>
      </w:r>
    </w:p>
    <w:p>
      <w:pPr>
        <w:ind w:left="240"/>
      </w:pPr>
      <w:r>
        <w:t>部署数字化与绿色化协同转型，明确算力能效、数据中心绿色化等要求</w:t>
      </w:r>
    </w:p>
    <w:p>
      <w:pPr>
        <w:spacing w:before="0" w:after="80"/>
        <w:pBdr>
          <w:bottom w:val="single" w:sz="4" w:space="1" w:color="DDDDDD"/>
        </w:pBdr>
      </w:pPr>
    </w:p>
    <w:p>
      <w:r>
        <w:rPr>
          <w:b/>
          <w:sz w:val="24"/>
        </w:rPr>
        <w:t>《数字乡村高质量发展行动计划（2026—2030年）》</w:t>
      </w:r>
    </w:p>
    <w:p>
      <w:r>
        <w:rPr>
          <w:color w:val="646464"/>
          <w:sz w:val="20"/>
        </w:rPr>
        <w:t>文　　号：暂无</w:t>
        <w:br/>
        <w:t>发文机关：中央网络安全和信息化委员会办公室</w:t>
        <w:br/>
        <w:t>发文日期：2026-09-11</w:t>
        <w:br/>
        <w:t>原文链接：https://www.cac.gov.cn/wxzw/zcfg/A093703index_1.htm</w:t>
      </w:r>
    </w:p>
    <w:p>
      <w:pPr>
        <w:ind w:left="240"/>
      </w:pPr>
      <w:r>
        <w:t>部署数字乡村建设，推动数字基础设施与数据要素向乡村延伸</w:t>
      </w:r>
    </w:p>
    <w:p>
      <w:pPr>
        <w:spacing w:before="0" w:after="80"/>
        <w:pBdr>
          <w:bottom w:val="single" w:sz="4" w:space="1" w:color="DDDDDD"/>
        </w:pBdr>
      </w:pPr>
    </w:p>
    <w:p>
      <w:r>
        <w:rPr>
          <w:b/>
          <w:sz w:val="24"/>
        </w:rPr>
        <w:t>《网络数据安全风险评估办法》</w:t>
      </w:r>
    </w:p>
    <w:p>
      <w:r>
        <w:rPr>
          <w:color w:val="646464"/>
          <w:sz w:val="20"/>
        </w:rPr>
        <w:t>文　　号：国家网信办、工业和信息化部、公安部令第24号</w:t>
        <w:br/>
        <w:t>发文机关：国家互联网信息办公室、工业和信息化部、公安部</w:t>
        <w:br/>
        <w:t>发文日期：2026-08-20</w:t>
        <w:br/>
        <w:t>原文链接：https://www.gov.cn/gongbao/2026/issue_12946/202608/content_7079356.html?_page=KOCQT9SB</w:t>
      </w:r>
    </w:p>
    <w:p>
      <w:pPr>
        <w:ind w:left="240"/>
      </w:pPr>
      <w:r>
        <w:t>规范网络数据安全风险评估活动，明确评估主体、流程与法律责任</w:t>
      </w:r>
    </w:p>
    <w:p>
      <w:pPr>
        <w:spacing w:before="0" w:after="80"/>
        <w:pBdr>
          <w:bottom w:val="single" w:sz="4" w:space="1" w:color="DDDDDD"/>
        </w:pBdr>
      </w:pPr>
    </w:p>
    <w:p>
      <w:r>
        <w:rPr>
          <w:b/>
          <w:sz w:val="24"/>
        </w:rPr>
        <w:t>《药物临床试验电子数据指导原则》</w:t>
      </w:r>
    </w:p>
    <w:p>
      <w:r>
        <w:rPr>
          <w:color w:val="646464"/>
          <w:sz w:val="20"/>
        </w:rPr>
        <w:t>文　　号：暂无</w:t>
        <w:br/>
        <w:t>发文机关：国家药品监督管理局药品审评中心</w:t>
        <w:br/>
        <w:t>发文日期：2026-09-23</w:t>
        <w:br/>
        <w:t>原文链接：https://wappass.baidu.com/static/captcha/tuxing.html?ak=572be823e2f50ea759a616c060d6b9f1&amp;backurl=https%3A%2F%2Fmbd.baidu.com%2Fnewspage%2Fdata%2Flandingsuper%3Fid%3D1877749886620706062%26wfr%3Dspider%26for%3Dpc%26third%3Dbaijiahao%26baijiahao_id%3D1877749886620706062%26c_source%3Dkunlun%26c_score%3D0.999100&amp;timestamp=1791423164&amp;signature=2a148f94aa148e6ffe26d72234c8ffc0</w:t>
      </w:r>
    </w:p>
    <w:p>
      <w:pPr>
        <w:ind w:left="240"/>
      </w:pPr>
      <w:r>
        <w:t>明确药物临床试验电子数据ALCOA++原则与计算机化系统合规要求</w:t>
      </w:r>
    </w:p>
    <w:p>
      <w:pPr>
        <w:spacing w:before="0" w:after="80"/>
        <w:pBdr>
          <w:bottom w:val="single" w:sz="4" w:space="1" w:color="DDDDDD"/>
        </w:pBdr>
      </w:pPr>
    </w:p>
    <w:p>
      <w:r>
        <w:rPr>
          <w:b/>
          <w:sz w:val="24"/>
        </w:rPr>
        <w:t>《广州拟立法促进人工智能发展 建设统一算力调度平台和应用赋能中心》</w:t>
      </w:r>
    </w:p>
    <w:p>
      <w:r>
        <w:rPr>
          <w:color w:val="646464"/>
          <w:sz w:val="20"/>
        </w:rPr>
        <w:t>文　　号：暂无</w:t>
        <w:br/>
        <w:t>发文机关：广州市人大常委会</w:t>
        <w:br/>
        <w:t>发文日期：2026-08-18</w:t>
        <w:br/>
        <w:t>原文链接：https://www.gz.gov.cn/zt/gzlfzgzld/gzld/content/post_10968291.html</w:t>
      </w:r>
    </w:p>
    <w:p>
      <w:pPr>
        <w:ind w:left="240"/>
      </w:pPr>
      <w:r>
        <w:t>广州拟立法促进AI发展，建设统一算力调度平台和应用赋能中心</w:t>
      </w:r>
    </w:p>
    <w:p>
      <w:pPr>
        <w:spacing w:before="0" w:after="80"/>
        <w:pBdr>
          <w:bottom w:val="single" w:sz="4" w:space="1" w:color="DDDDDD"/>
        </w:pBdr>
      </w:pPr>
    </w:p>
    <w:p>
      <w:r>
        <w:rPr>
          <w:b/>
          <w:sz w:val="24"/>
        </w:rPr>
        <w:t>《小型个人信息处理者个人信息保护简化措施规定》</w:t>
      </w:r>
    </w:p>
    <w:p>
      <w:r>
        <w:rPr>
          <w:color w:val="646464"/>
          <w:sz w:val="20"/>
        </w:rPr>
        <w:t>文　　号：暂无</w:t>
        <w:br/>
        <w:t>发文机关：国家互联网信息办公室、公安部</w:t>
        <w:br/>
        <w:t>发文日期：2026-07-24</w:t>
        <w:br/>
        <w:t>原文链接：https://cagd.gov.cn/c/a/12/1.html</w:t>
      </w:r>
    </w:p>
    <w:p>
      <w:pPr>
        <w:ind w:left="240"/>
      </w:pPr>
      <w:r>
        <w:t>对小型个人信息处理者简化合规义务，降低中小主体合规负担</w:t>
      </w:r>
    </w:p>
    <w:p>
      <w:pPr>
        <w:spacing w:before="0" w:after="80"/>
        <w:pBdr>
          <w:bottom w:val="single" w:sz="4" w:space="1" w:color="DDDDDD"/>
        </w:pBdr>
      </w:pPr>
    </w:p>
    <w:p>
      <w:r>
        <w:rPr>
          <w:b/>
          <w:sz w:val="24"/>
        </w:rPr>
        <w:t>《关于推动互联网基础资源高质量发展的指导意见》</w:t>
      </w:r>
    </w:p>
    <w:p>
      <w:r>
        <w:rPr>
          <w:color w:val="646464"/>
          <w:sz w:val="20"/>
        </w:rPr>
        <w:t>文　　号：暂无</w:t>
        <w:br/>
        <w:t>发文机关：工业和信息化部、中央网信办、国家发展改革委、国家数据局</w:t>
        <w:br/>
        <w:t>发文日期：2026-07-01</w:t>
        <w:br/>
        <w:t>原文链接：https://gyxxh.tj.gov.cn/ZWGK4147/ZCWJ6355/gjjwj/202607/t20260713_7334666.html</w:t>
      </w:r>
    </w:p>
    <w:p>
      <w:pPr>
        <w:ind w:left="240"/>
      </w:pPr>
      <w:r>
        <w:t>四部门联合部署互联网基础资源高质量发展，涵盖域名、IP、算力网络</w:t>
      </w:r>
    </w:p>
    <w:p>
      <w:pPr>
        <w:spacing w:before="0" w:after="80"/>
        <w:pBdr>
          <w:bottom w:val="single" w:sz="4" w:space="1" w:color="DDDDDD"/>
        </w:pBdr>
      </w:pPr>
    </w:p>
    <w:p>
      <w:r>
        <w:rPr>
          <w:b/>
          <w:sz w:val="24"/>
        </w:rPr>
        <w:t>《深化互联网协议第六版（IPv6）技术创新和融合应用实施方案（2026—2030年）》</w:t>
      </w:r>
    </w:p>
    <w:p>
      <w:r>
        <w:rPr>
          <w:color w:val="646464"/>
          <w:sz w:val="20"/>
        </w:rPr>
        <w:t>文　　号：暂无</w:t>
        <w:br/>
        <w:t>发文机关：中央网络安全和信息化委员会办公室</w:t>
        <w:br/>
        <w:t>发文日期：2026-07-21</w:t>
        <w:br/>
        <w:t>原文链接：https://www.cac.gov.cn/wxzw/zcfg/zcwj/A09370306index_1.htm</w:t>
      </w:r>
    </w:p>
    <w:p>
      <w:pPr>
        <w:ind w:left="240"/>
      </w:pPr>
      <w:r>
        <w:t>推进IPv6规模部署与技术创新，强化算力网络与数字基础设施支撑</w:t>
      </w:r>
    </w:p>
    <w:p>
      <w:pPr>
        <w:spacing w:before="0" w:after="80"/>
        <w:pBdr>
          <w:bottom w:val="single" w:sz="4" w:space="1" w:color="DDDDDD"/>
        </w:pBdr>
      </w:pPr>
    </w:p>
    <w:p/>
    <w:p>
      <w:pPr>
        <w:pStyle w:val="Heading1"/>
      </w:pPr>
      <w:r>
        <w:rPr>
          <w:color w:val="5B6DE4"/>
          <w:sz w:val="28"/>
        </w:rPr>
        <w:t>三、今年以来主要政策</w:t>
      </w:r>
    </w:p>
    <w:p>
      <w:r>
        <w:rPr>
          <w:b/>
          <w:sz w:val="24"/>
        </w:rPr>
        <w:t>《网络安全法（2025年修正）》</w:t>
      </w:r>
    </w:p>
    <w:p>
      <w:r>
        <w:rPr>
          <w:color w:val="646464"/>
          <w:sz w:val="20"/>
        </w:rPr>
        <w:t>文　　号：暂无</w:t>
        <w:br/>
        <w:t>发文机关：全国人民代表大会常务委员会</w:t>
        <w:br/>
        <w:t>发文日期：2026-01-01</w:t>
        <w:br/>
        <w:t>原文链接：https://www.cac.gov.cn/2026-01/02/c_1769093523928606.htm</w:t>
      </w:r>
    </w:p>
    <w:p>
      <w:pPr>
        <w:ind w:left="240"/>
      </w:pPr>
      <w:r>
        <w:t>新增第二十条人工智能安全与发展专条，明确支持AI技术研发与算力建设</w:t>
      </w:r>
    </w:p>
    <w:p>
      <w:pPr>
        <w:spacing w:before="0" w:after="80"/>
        <w:pBdr>
          <w:bottom w:val="single" w:sz="4" w:space="1" w:color="DDDDDD"/>
        </w:pBdr>
      </w:pPr>
    </w:p>
    <w:p>
      <w:r>
        <w:rPr>
          <w:b/>
          <w:sz w:val="24"/>
        </w:rPr>
        <w:t>《关于构建数据基础制度更好发挥数据要素作用的意见（数据二十条）》</w:t>
      </w:r>
    </w:p>
    <w:p>
      <w:r>
        <w:rPr>
          <w:color w:val="646464"/>
          <w:sz w:val="20"/>
        </w:rPr>
        <w:t>文　　号：暂无</w:t>
        <w:br/>
        <w:t>发文机关：中共中央、国务院</w:t>
        <w:br/>
        <w:t>发文日期：2026-01-01</w:t>
      </w:r>
    </w:p>
    <w:p>
      <w:pPr>
        <w:ind w:left="240"/>
      </w:pPr>
      <w:r>
        <w:t>构建数据产权、流通交易、收益分配、安全治理基础制度框架</w:t>
      </w:r>
    </w:p>
    <w:p>
      <w:pPr>
        <w:spacing w:before="0" w:after="80"/>
        <w:pBdr>
          <w:bottom w:val="single" w:sz="4" w:space="1" w:color="DDDDDD"/>
        </w:pBdr>
      </w:pPr>
    </w:p>
    <w:p>
      <w:r>
        <w:rPr>
          <w:b/>
          <w:sz w:val="24"/>
        </w:rPr>
        <w:t>《数字中国建设整体布局规划》</w:t>
      </w:r>
    </w:p>
    <w:p>
      <w:r>
        <w:rPr>
          <w:color w:val="646464"/>
          <w:sz w:val="20"/>
        </w:rPr>
        <w:t>文　　号：暂无</w:t>
        <w:br/>
        <w:t>发文机关：中共中央、国务院</w:t>
        <w:br/>
        <w:t>发文日期：2026-01-01</w:t>
      </w:r>
    </w:p>
    <w:p>
      <w:pPr>
        <w:ind w:left="240"/>
      </w:pPr>
      <w:r>
        <w:t>明确数字中国建设“2522”整体框架，夯实数字基础设施与数据资源体系</w:t>
      </w:r>
    </w:p>
    <w:p>
      <w:pPr>
        <w:spacing w:before="0" w:after="80"/>
        <w:pBdr>
          <w:bottom w:val="single" w:sz="4" w:space="1" w:color="DDDDDD"/>
        </w:pBdr>
      </w:pPr>
    </w:p>
    <w:p>
      <w:r>
        <w:rPr>
          <w:b/>
          <w:sz w:val="24"/>
        </w:rPr>
        <w:t>《生成式人工智能服务管理暂行办法》</w:t>
      </w:r>
    </w:p>
    <w:p>
      <w:r>
        <w:rPr>
          <w:color w:val="646464"/>
          <w:sz w:val="20"/>
        </w:rPr>
        <w:t>文　　号：暂无</w:t>
        <w:br/>
        <w:t>发文机关：国家互联网信息办公室等七部门</w:t>
        <w:br/>
        <w:t>发文日期：2026-01-01</w:t>
      </w:r>
    </w:p>
    <w:p>
      <w:pPr>
        <w:ind w:left="240"/>
      </w:pPr>
      <w:r>
        <w:t>规范生成式AI服务，明确训练数据、算法备案与内容安全要求</w:t>
      </w:r>
    </w:p>
    <w:p>
      <w:pPr>
        <w:spacing w:before="0" w:after="80"/>
        <w:pBdr>
          <w:bottom w:val="single" w:sz="4" w:space="1" w:color="DDDDDD"/>
        </w:pBdr>
      </w:pPr>
    </w:p>
    <w:p>
      <w:r>
        <w:rPr>
          <w:b/>
          <w:sz w:val="24"/>
        </w:rPr>
        <w:t>《算力基础设施高质量发展行动计划》</w:t>
      </w:r>
    </w:p>
    <w:p>
      <w:r>
        <w:rPr>
          <w:color w:val="646464"/>
          <w:sz w:val="20"/>
        </w:rPr>
        <w:t>文　　号：暂无</w:t>
        <w:br/>
        <w:t>发文机关：工业和信息化部等六部门</w:t>
        <w:br/>
        <w:t>发文日期：2026-01-01</w:t>
      </w:r>
    </w:p>
    <w:p>
      <w:pPr>
        <w:ind w:left="240"/>
      </w:pPr>
      <w:r>
        <w:t>部署算力基础设施高质量发展，明确智能算力占比与绿色低碳目标</w:t>
      </w:r>
    </w:p>
    <w:p>
      <w:pPr>
        <w:spacing w:before="0" w:after="80"/>
        <w:pBdr>
          <w:bottom w:val="single" w:sz="4" w:space="1" w:color="DDDDDD"/>
        </w:pBdr>
      </w:pPr>
    </w:p>
    <w:p>
      <w:r>
        <w:rPr>
          <w:b/>
          <w:sz w:val="24"/>
        </w:rPr>
        <w:t>《关于深入实施“东数西算”工程加快构建全国一体化算力网的实施意见》</w:t>
      </w:r>
    </w:p>
    <w:p>
      <w:r>
        <w:rPr>
          <w:color w:val="646464"/>
          <w:sz w:val="20"/>
        </w:rPr>
        <w:t>文　　号：暂无</w:t>
        <w:br/>
        <w:t>发文机关：国家发展改革委、国家数据局等</w:t>
        <w:br/>
        <w:t>发文日期：2026-01-01</w:t>
      </w:r>
    </w:p>
    <w:p>
      <w:pPr>
        <w:ind w:left="240"/>
      </w:pPr>
      <w:r>
        <w:t>推动全国一体化算力网建设，优化东西部算力资源配置与调度</w:t>
      </w:r>
    </w:p>
    <w:p>
      <w:pPr>
        <w:spacing w:before="0" w:after="80"/>
        <w:pBdr>
          <w:bottom w:val="single" w:sz="4" w:space="1" w:color="DDDDDD"/>
        </w:pBdr>
      </w:pPr>
    </w:p>
    <w:p>
      <w:r>
        <w:rPr>
          <w:b/>
          <w:sz w:val="24"/>
        </w:rPr>
        <w:t>《数据安全法》</w:t>
      </w:r>
    </w:p>
    <w:p>
      <w:r>
        <w:rPr>
          <w:color w:val="646464"/>
          <w:sz w:val="20"/>
        </w:rPr>
        <w:t>文　　号：暂无</w:t>
        <w:br/>
        <w:t>发文机关：全国人民代表大会常务委员会</w:t>
        <w:br/>
        <w:t>发文日期：2026-01-01</w:t>
      </w:r>
    </w:p>
    <w:p>
      <w:pPr>
        <w:ind w:left="240"/>
      </w:pPr>
      <w:r>
        <w:t>确立数据分类分级保护制度，明确数据安全审查与出口管制</w:t>
      </w:r>
    </w:p>
    <w:p>
      <w:pPr>
        <w:spacing w:before="0" w:after="80"/>
        <w:pBdr>
          <w:bottom w:val="single" w:sz="4" w:space="1" w:color="DDDDDD"/>
        </w:pBdr>
      </w:pPr>
    </w:p>
    <w:p>
      <w:r>
        <w:rPr>
          <w:b/>
          <w:sz w:val="24"/>
        </w:rPr>
        <w:t>《个人信息保护法》</w:t>
      </w:r>
    </w:p>
    <w:p>
      <w:r>
        <w:rPr>
          <w:color w:val="646464"/>
          <w:sz w:val="20"/>
        </w:rPr>
        <w:t>文　　号：暂无</w:t>
        <w:br/>
        <w:t>发文机关：全国人民代表大会常务委员会</w:t>
        <w:br/>
        <w:t>发文日期：2026-01-01</w:t>
      </w:r>
    </w:p>
    <w:p>
      <w:pPr>
        <w:ind w:left="240"/>
      </w:pPr>
      <w:r>
        <w:t>规范个人信息处理活动，明确跨境提供规则与个人权利保障</w:t>
      </w:r>
    </w:p>
    <w:p>
      <w:pPr>
        <w:spacing w:before="0" w:after="80"/>
        <w:pBdr>
          <w:bottom w:val="single" w:sz="4" w:space="1" w:color="DDDDDD"/>
        </w:pBdr>
      </w:pPr>
    </w:p>
    <w:p>
      <w:r>
        <w:rPr>
          <w:b/>
          <w:sz w:val="24"/>
        </w:rPr>
        <w:t>《关键信息基础设施安全保护条例》</w:t>
      </w:r>
    </w:p>
    <w:p>
      <w:r>
        <w:rPr>
          <w:color w:val="646464"/>
          <w:sz w:val="20"/>
        </w:rPr>
        <w:t>文　　号：暂无</w:t>
        <w:br/>
        <w:t>发文机关：国务院</w:t>
        <w:br/>
        <w:t>发文日期：2026-01-01</w:t>
      </w:r>
    </w:p>
    <w:p>
      <w:pPr>
        <w:ind w:left="240"/>
      </w:pPr>
      <w:r>
        <w:t>明确关键信息基础设施认定、运营者责任与安全保护义务</w:t>
      </w:r>
    </w:p>
    <w:p>
      <w:pPr>
        <w:spacing w:before="0" w:after="80"/>
        <w:pBdr>
          <w:bottom w:val="single" w:sz="4" w:space="1" w:color="DDDDDD"/>
        </w:pBdr>
      </w:pPr>
    </w:p>
    <w:p>
      <w:r>
        <w:rPr>
          <w:b/>
          <w:sz w:val="24"/>
        </w:rPr>
        <w:t>《互联网信息服务算法推荐管理规定》</w:t>
      </w:r>
    </w:p>
    <w:p>
      <w:r>
        <w:rPr>
          <w:color w:val="646464"/>
          <w:sz w:val="20"/>
        </w:rPr>
        <w:t>文　　号：暂无</w:t>
        <w:br/>
        <w:t>发文机关：国家互联网信息办公室等四部门</w:t>
        <w:br/>
        <w:t>发文日期：2026-01-01</w:t>
      </w:r>
    </w:p>
    <w:p>
      <w:pPr>
        <w:ind w:left="240"/>
      </w:pPr>
      <w:r>
        <w:t>规范算法推荐服务，要求算法备案、透明度与用户选择权</w:t>
      </w:r>
    </w:p>
    <w:p>
      <w:pPr>
        <w:spacing w:before="0" w:after="80"/>
        <w:pBdr>
          <w:bottom w:val="single" w:sz="4" w:space="1" w:color="DDDDDD"/>
        </w:pBdr>
      </w:pPr>
    </w:p>
    <w:p>
      <w:r>
        <w:rPr>
          <w:b/>
          <w:sz w:val="24"/>
        </w:rPr>
        <w:t>《上海市数据条例》</w:t>
      </w:r>
    </w:p>
    <w:p>
      <w:r>
        <w:rPr>
          <w:color w:val="646464"/>
          <w:sz w:val="20"/>
        </w:rPr>
        <w:t>文　　号：暂无</w:t>
        <w:br/>
        <w:t>发文机关：上海市人民代表大会常务委员会</w:t>
        <w:br/>
        <w:t>发文日期：2026-01-01</w:t>
      </w:r>
    </w:p>
    <w:p>
      <w:pPr>
        <w:ind w:left="240"/>
      </w:pPr>
      <w:r>
        <w:t>上海数据领域基础性法规，涵盖数据权益、流通交易与安全管理</w:t>
      </w:r>
    </w:p>
    <w:p>
      <w:pPr>
        <w:spacing w:before="0" w:after="80"/>
        <w:pBdr>
          <w:bottom w:val="single" w:sz="4" w:space="1" w:color="DDDDDD"/>
        </w:pBdr>
      </w:pPr>
    </w:p>
    <w:p>
      <w:r>
        <w:rPr>
          <w:b/>
          <w:sz w:val="24"/>
        </w:rPr>
        <w:t>《浙江省公共数据条例》</w:t>
      </w:r>
    </w:p>
    <w:p>
      <w:r>
        <w:rPr>
          <w:color w:val="646464"/>
          <w:sz w:val="20"/>
        </w:rPr>
        <w:t>文　　号：暂无</w:t>
        <w:br/>
        <w:t>发文机关：浙江省人民代表大会常务委员会</w:t>
        <w:br/>
        <w:t>发文日期：2026-01-01</w:t>
      </w:r>
    </w:p>
    <w:p>
      <w:pPr>
        <w:ind w:left="240"/>
      </w:pPr>
      <w:r>
        <w:t>规范公共数据采集、共享、开放与开发利用，推动数据要素市场化</w:t>
      </w:r>
    </w:p>
    <w:p>
      <w:pPr>
        <w:spacing w:before="0" w:after="80"/>
        <w:pBdr>
          <w:bottom w:val="single" w:sz="4" w:space="1" w:color="DDDDDD"/>
        </w:pBdr>
      </w:pPr>
    </w:p>
    <w:p>
      <w:r>
        <w:rPr>
          <w:b/>
          <w:sz w:val="24"/>
        </w:rPr>
        <w:t>《深圳经济特区数据条例》</w:t>
      </w:r>
    </w:p>
    <w:p>
      <w:r>
        <w:rPr>
          <w:color w:val="646464"/>
          <w:sz w:val="20"/>
        </w:rPr>
        <w:t>文　　号：暂无</w:t>
        <w:br/>
        <w:t>发文机关：深圳市人民代表大会常务委员会</w:t>
        <w:br/>
        <w:t>发文日期：2026-01-01</w:t>
      </w:r>
    </w:p>
    <w:p>
      <w:pPr>
        <w:ind w:left="240"/>
      </w:pPr>
      <w:r>
        <w:t>深圳数据领域综合性法规，涵盖个人数据、公共数据与数据要素市场</w:t>
      </w:r>
    </w:p>
    <w:p>
      <w:pPr>
        <w:spacing w:before="0" w:after="80"/>
        <w:pBdr>
          <w:bottom w:val="single" w:sz="4" w:space="1" w:color="DDDDDD"/>
        </w:pBdr>
      </w:pPr>
    </w:p>
    <w:p>
      <w:r>
        <w:rPr>
          <w:b/>
          <w:sz w:val="24"/>
        </w:rPr>
        <w:t>《欧盟人工智能法案（EU AI Act）》</w:t>
      </w:r>
    </w:p>
    <w:p>
      <w:r>
        <w:rPr>
          <w:color w:val="646464"/>
          <w:sz w:val="20"/>
        </w:rPr>
        <w:t>文　　号：Regulation (EU) 2024/1689</w:t>
        <w:br/>
        <w:t>发文机关：欧洲议会和欧盟理事会</w:t>
        <w:br/>
        <w:t>发文日期：2026-01-01</w:t>
      </w:r>
    </w:p>
    <w:p>
      <w:pPr>
        <w:ind w:left="240"/>
      </w:pPr>
      <w:r>
        <w:t>全球首部综合性AI监管法规，按风险分级管理AI系统</w:t>
      </w:r>
    </w:p>
    <w:p>
      <w:pPr>
        <w:spacing w:before="0" w:after="80"/>
        <w:pBdr>
          <w:bottom w:val="single" w:sz="4" w:space="1" w:color="DDDDDD"/>
        </w:pBdr>
      </w:pPr>
    </w:p>
    <w:p>
      <w:r>
        <w:rPr>
          <w:b/>
          <w:sz w:val="24"/>
        </w:rPr>
        <w:t>《美国关于安全、可靠和可信地开发和使用人工智能的行政令》</w:t>
      </w:r>
    </w:p>
    <w:p>
      <w:r>
        <w:rPr>
          <w:color w:val="646464"/>
          <w:sz w:val="20"/>
        </w:rPr>
        <w:t>文　　号：Executive Order 14110</w:t>
        <w:br/>
        <w:t>发文机关：美国白宫</w:t>
        <w:br/>
        <w:t>发文日期：2026-01-01</w:t>
      </w:r>
    </w:p>
    <w:p>
      <w:pPr>
        <w:ind w:left="240"/>
      </w:pPr>
      <w:r>
        <w:t>要求AI系统安全测试、红队评估与关键基础设施保护</w:t>
      </w:r>
    </w:p>
    <w:p>
      <w:pPr>
        <w:spacing w:before="0" w:after="80"/>
        <w:pBdr>
          <w:bottom w:val="single" w:sz="4" w:space="1" w:color="DDDDDD"/>
        </w:pBdr>
      </w:pPr>
    </w:p>
    <w:p>
      <w:r>
        <w:rPr>
          <w:b/>
          <w:sz w:val="24"/>
        </w:rPr>
        <w:t>《日本人工智能推进法》</w:t>
      </w:r>
    </w:p>
    <w:p>
      <w:r>
        <w:rPr>
          <w:color w:val="646464"/>
          <w:sz w:val="20"/>
        </w:rPr>
        <w:t>文　　号：暂无</w:t>
        <w:br/>
        <w:t>发文机关：日本国会</w:t>
        <w:br/>
        <w:t>发文日期：2026-01-01</w:t>
      </w:r>
    </w:p>
    <w:p>
      <w:pPr>
        <w:ind w:left="240"/>
      </w:pPr>
      <w:r>
        <w:t>日本首部AI专门法律，以促进创新为主、轻监管为基调</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2026年9月，国家网信办密集发布《促进数字化绿色化协同转型发展实施方案（2026-2030年）》和《数字乡村高质量发展行动计划（2026—2030年）》，同时《网络数据安全风险评估办法》于8月20日正式施行。逻辑：这一系列动作表明中国数字政策正从单一领域推进转向“数字化+绿色化+安全化”三位一体协同，制度设计上强调跨部门联动与全链条覆盖。研判：预计2026年底前将出台配套的算力能效标准和数据安全评估细则，企业需提前建立数据分类分级与绿色算力采购的双合规体系，否则可能面临双重监管压力。</w:t>
      </w:r>
    </w:p>
    <w:p>
      <w:r>
        <w:rPr>
          <w:b/>
          <w:color w:val="5B6DE4"/>
        </w:rPr>
        <w:t xml:space="preserve">②  </w:t>
      </w:r>
      <w:r>
        <w:t>现象：2026年1月1日修正后的《网络安全法》正式施行，新增第二十条专门规定人工智能安全与发展，明确支持训练数据资源、算力等基础设施建设，同时要求完善伦理规范、加强风险监测评估。逻辑：立法者选择在网络安全法框架内嵌入AI治理条款，而非单独立法，体现“以安全促发展”的务实思路，既为AI创新留出空间，又将其纳入既有安全监管体系。研判：这一立法模式可能被后续《人工智能法》吸收，形成“网络安全法+专门法”的双层架构；企业应关注训练数据合规与算法备案的衔接要求，避免因安全评估不通过而影响模型上线。</w:t>
      </w:r>
    </w:p>
    <w:p>
      <w:r>
        <w:rPr>
          <w:b/>
          <w:color w:val="5B6DE4"/>
        </w:rPr>
        <w:t xml:space="preserve">③  </w:t>
      </w:r>
      <w:r>
        <w:t>现象：2026年7月，工信部、中央网信办、国家发展改革委、国家数据局四部门联合印发《关于推动互联网基础资源高质量发展的指导意见》，同期发布《深化IPv6技术创新和融合应用实施方案（2026—2030年）》。逻辑：互联网基础资源（域名、IP地址、AS号）是算力网络和数字经济的底层支撑，四部门联合发文意味着基础资源管理已从行业管理上升为国家数字基础设施战略。研判：IPv6+算力网络的融合将成为下一阶段重点，预计2027年前将出现针对算力互联网标识解析体系的专项政策，运营商和IDC企业需提前布局IPv6单栈和SRv6技术。</w:t>
      </w:r>
    </w:p>
    <w:p>
      <w:r>
        <w:rPr>
          <w:b/>
          <w:color w:val="5B6DE4"/>
        </w:rPr>
        <w:t xml:space="preserve">④  </w:t>
      </w:r>
      <w:r>
        <w:t>现象：2026年8月，广州拟立法促进人工智能发展，明确提出建设统一算力调度平台和应用赋能中心；同期，国家层面《算力基础设施高质量发展行动计划》持续推进，智能算力占比目标不断提升。逻辑：地方立法先行先试已成为中国AI治理的显著特征，广州、上海、深圳等地通过地方性法规探索算力调度、数据开放等制度创新，为国家立法积累经验。研判：预计2026年底至2027年初，将有更多省市出台AI或算力专项法规，区域间算力调度平台互联互通将成为竞争焦点，企业应关注地方算力补贴与数据开放政策差异，优化区域布局。</w:t>
      </w:r>
    </w:p>
    <w:p>
      <w:r>
        <w:rPr>
          <w:b/>
          <w:color w:val="5B6DE4"/>
        </w:rPr>
        <w:t xml:space="preserve">⑤  </w:t>
      </w:r>
      <w:r>
        <w:t>现象：2026年9月23日，国家药监局药审中心发布《药物临床试验电子数据指导原则》，明确ALCOA++原则和计算机化系统合规要求；此前8月20日《网络数据安全风险评估办法》施行，7月24日发布《小型个人信息处理者个人信息保护简化措施规定》。逻辑：数据安全监管正从通用框架向行业纵深和主体分层演进，一方面对医药等高风险行业提出更细颗粒度的数据完整性要求，另一方面对中小主体简化合规义务，体现“精准监管”思路。研判：行业主管部门将陆续出台本领域数据安全细则，企业需建立“通用+行业”双轨合规体系；中小企业的合规红利窗口期有限，应尽快完成基础合规建设。</w:t>
      </w:r>
    </w:p>
    <w:p>
      <w:r>
        <w:rPr>
          <w:b/>
          <w:color w:val="5B6DE4"/>
        </w:rPr>
        <w:t xml:space="preserve">⑥  </w:t>
      </w:r>
      <w:r>
        <w:t>现象：2026年，欧盟AI Act进入分阶段实施阶段，美国延续EO 14110的AI安全测试与红队评估要求，日本通过首部AI推进法以促进创新为主、轻监管为基调；中国则在《网络安全法》中嵌入AI专条，并持续推进生成式AI备案管理。逻辑：全球AI治理呈现“欧盟重风险分级、美国重安全测试、日本重创新促进、中国重安全与发展并重”的差异化格局，背后是各自产业阶段、法律传统与战略优先级的差异。研判：中国“安全与发展并重”路径在发展中国家具有推广潜力，但需警惕与欧盟风险分级制度的互认障碍；出海企业应同时满足中国备案要求和欧盟合规评估，建立多套合规映射机制以降低跨境成本。</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