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生成日期：2026-07-31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《关于发布生成式人工智能服务已备案信息的公告（2026年5月至6月）》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发文日期：2026-07-21</w:t>
        <w:br/>
        <w:t>原文链接：https://www.cac.gov.cn/wxzw/wxfb/A093702index_1.htm</w:t>
      </w:r>
    </w:p>
    <w:p>
      <w:pPr>
        <w:ind w:left="240"/>
      </w:pPr>
      <w:r>
        <w:t>公布2026年5-6月生成式AI服务备案信息，加强合规管理。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《工业和信息化部办公厅关于公布2025年物联网赋能行业发展典型案例名单的通知》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发文日期：2026-07-22</w:t>
        <w:br/>
        <w:t>原文链接：https://wap.miit.gov.cn/zwgk/zcwj/wjfb/tz/index.html</w:t>
      </w:r>
    </w:p>
    <w:p>
      <w:pPr>
        <w:ind w:left="240"/>
      </w:pPr>
      <w:r>
        <w:t>公布2025年物联网赋能行业发展典型案例，推广优秀实践。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《2026年APEC数字和人工智能部长会议通过《成都声明》》</w:t>
      </w:r>
    </w:p>
    <w:p>
      <w:r>
        <w:rPr>
          <w:color w:val="646464"/>
          <w:sz w:val="20"/>
        </w:rPr>
        <w:t>文　　号：暂无</w:t>
        <w:br/>
        <w:t>发文机关：APEC</w:t>
        <w:br/>
        <w:t>发文日期：2026-07-24</w:t>
      </w:r>
    </w:p>
    <w:p>
      <w:pPr>
        <w:ind w:left="240"/>
      </w:pPr>
      <w:r>
        <w:t>APEC数字和人工智能部长会议达成共识，推动数字合作。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《工业和信息化部等八部门印发《关于推动工业互联网高质量发展的实施意见》》</w:t>
      </w:r>
    </w:p>
    <w:p>
      <w:r>
        <w:rPr>
          <w:color w:val="646464"/>
          <w:sz w:val="20"/>
        </w:rPr>
        <w:t>文　　号：暂无</w:t>
        <w:br/>
        <w:t>发文机关：工业和信息化部等八部门</w:t>
        <w:br/>
        <w:t>发文日期：2026-06-29</w:t>
        <w:br/>
        <w:t>原文链接：https://wap.miit.gov.cn/zwgk/zcwj/wjfb/tz/index.html</w:t>
      </w:r>
    </w:p>
    <w:p>
      <w:pPr>
        <w:ind w:left="240"/>
      </w:pPr>
      <w:r>
        <w:t>推动工业互联网高质量发展，明确重点任务与保障措施。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《国家网信办等三部门联合公布《网络数据安全风险评估办法》》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建立网络数据安全风险评估机制，提升数据安全水平。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《关于印发《实施网络安全标识的产品目录（第一批）》及相关实施规则的通知》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发布首批网络安全标识产品目录，规范标识实施。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《工业和信息化部办公厅关于组织开展国家级零碳工厂（含零碳算力设施）建设工作的通知》</w:t>
      </w:r>
    </w:p>
    <w:p>
      <w:r>
        <w:rPr>
          <w:color w:val="646464"/>
          <w:sz w:val="20"/>
        </w:rPr>
        <w:t>文　　号：工信厅节函〔2026〕334号</w:t>
        <w:br/>
        <w:t>发文机关：工业和信息化部办公厅</w:t>
        <w:br/>
        <w:t>发文日期：2026-07-22</w:t>
        <w:br/>
        <w:t>原文链接：https://www.miit.gov.cn/search/wjfb.html?websiteid=110000000000000&amp;tpl=14&amp;category=51</w:t>
      </w:r>
    </w:p>
    <w:p>
      <w:pPr>
        <w:ind w:left="240"/>
      </w:pPr>
      <w:r>
        <w:t>启动国家级零碳工厂建设，含零碳算力设施，推动绿色算力。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《2026年“人工智能+电竞创新应用大赛”启动》</w:t>
      </w:r>
    </w:p>
    <w:p>
      <w:r>
        <w:rPr>
          <w:color w:val="646464"/>
          <w:sz w:val="20"/>
        </w:rPr>
        <w:t>文　　号：暂无</w:t>
        <w:br/>
        <w:t>发文机关：广西壮族自治区大数据发展局</w:t>
        <w:br/>
        <w:t>发文日期：2026-07-15</w:t>
      </w:r>
    </w:p>
    <w:p>
      <w:pPr>
        <w:ind w:left="240"/>
      </w:pPr>
      <w:r>
        <w:t>广西举办AI+电竞创新大赛，推动人工智能应用落地。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《数据宝发布国内首个“数据·算力·Token”三合一AI基础设施平台》</w:t>
      </w:r>
    </w:p>
    <w:p>
      <w:r>
        <w:rPr>
          <w:color w:val="646464"/>
          <w:sz w:val="20"/>
        </w:rPr>
        <w:t>文　　号：暂无</w:t>
        <w:br/>
        <w:t>发文机关：数据宝（贵安新区企业）</w:t>
        <w:br/>
        <w:t>发文日期：2026-07-20</w:t>
      </w:r>
    </w:p>
    <w:p>
      <w:pPr>
        <w:ind w:left="240"/>
      </w:pPr>
      <w:r>
        <w:t>发布国内首个数据·算力·Token三合一平台，推动AI基础设施创新。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《浙江省支持之江人工智能公共算力开放创新平台建设万卡集群》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浙江支持建设万卡规模AI算力平台，提供普惠算力服务。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《人工智能拟人化互动服务管理暂行办法正式施行》</w:t>
      </w:r>
    </w:p>
    <w:p>
      <w:r>
        <w:rPr>
          <w:color w:val="646464"/>
          <w:sz w:val="20"/>
        </w:rPr>
        <w:t>文　　号：国家网信办等五部门令第21号</w:t>
        <w:br/>
        <w:t>发文机关：国家互联网信息办公室、国家发展改革委、工业和信息化部、公安部、市场监管总局</w:t>
        <w:br/>
        <w:t>发文日期：2026-07-15</w:t>
        <w:br/>
        <w:t>原文链接：https://www.gov.cn/gongbao/2026/issue_12806/202606/content_7072472.html?webview_progress_bar=1&amp;push_animated=1&amp;show_loading=0&amp;theme=light</w:t>
      </w:r>
    </w:p>
    <w:p>
      <w:pPr>
        <w:ind w:left="240"/>
      </w:pPr>
      <w:r>
        <w:t>规范AI拟人化互动服务，明确服务提供者责任与数据安全要求。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《《算力基础设施高质量发展行动计划》》</w:t>
      </w:r>
    </w:p>
    <w:p>
      <w:r>
        <w:rPr>
          <w:color w:val="646464"/>
          <w:sz w:val="20"/>
        </w:rPr>
        <w:t>文　　号：暂无</w:t>
        <w:br/>
        <w:t>发文机关：工业和信息化部等六部门</w:t>
        <w:br/>
        <w:t>发文日期：2026-03-01</w:t>
        <w:br/>
        <w:t>原文链接：https://gyxxh.tj.gov.cn/ZWGK4147/ZCWJ6355/gjjwj/202604/t20260403_7275768.html</w:t>
      </w:r>
    </w:p>
    <w:p>
      <w:pPr>
        <w:ind w:left="240"/>
      </w:pPr>
      <w:r>
        <w:t>提升算力基础设施高质量发展，支撑数字经济发展。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《《中小企业数字化赋能专项行动方案（2025—2027年）》》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发文日期：2026-02-10</w:t>
        <w:br/>
        <w:t>原文链接：https://gyxxh.tj.gov.cn/ZWGK4147/ZCWJ6355/gjjwj/202604/t20260403_7275768.html</w:t>
      </w:r>
    </w:p>
    <w:p>
      <w:pPr>
        <w:ind w:left="240"/>
      </w:pPr>
      <w:r>
        <w:t>推动中小企业数字化赋能，提升转型能力。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《《算力互联互通行动计划》》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发文日期：2026-03-15</w:t>
        <w:br/>
        <w:t>原文链接：https://gyxxh.tj.gov.cn/ZWGK4147/ZCWJ6355/gjjwj/202604/t20260403_7275768.html</w:t>
      </w:r>
    </w:p>
    <w:p>
      <w:pPr>
        <w:ind w:left="240"/>
      </w:pPr>
      <w:r>
        <w:t>推动算力互联互通，构建一体化算力体系。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《《关于启动工业数据筑基行动 开展面向人工智能赋能的高质量行业数据集建设先行先试的通知》》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发文日期：2026-03-10</w:t>
        <w:br/>
        <w:t>原文链接：https://www.163.com/dy/article/KQ2D482J0518KCLG.html</w:t>
      </w:r>
    </w:p>
    <w:p>
      <w:pPr>
        <w:ind w:left="240"/>
      </w:pPr>
      <w:r>
        <w:t>启动工业数据筑基行动，建设高质量行业数据集。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《上海市经济信息化委关于组织2026年上海市制造业智能化发展项目申报的通知》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发文日期：2026-01-12</w:t>
        <w:br/>
        <w:t>原文链接：https://www.sheitc.sh.gov.cn/cyfz/20260112/11e3168ff89a4eeea2b1afd193c19418.html</w:t>
      </w:r>
    </w:p>
    <w:p>
      <w:pPr>
        <w:ind w:left="240"/>
      </w:pPr>
      <w:r>
        <w:t>上海组织制造业智能化发展项目申报，推动AI与工业互联网赋能。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《欧盟《人工智能法案》（EU AI Act）正式生效》</w:t>
      </w:r>
    </w:p>
    <w:p>
      <w:r>
        <w:rPr>
          <w:color w:val="646464"/>
          <w:sz w:val="20"/>
        </w:rPr>
        <w:t>文　　号：暂无</w:t>
        <w:br/>
        <w:t>发文机关：欧盟委员会</w:t>
        <w:br/>
        <w:t>发文日期：2026-01-01</w:t>
      </w:r>
    </w:p>
    <w:p>
      <w:pPr>
        <w:ind w:left="240"/>
      </w:pPr>
      <w:r>
        <w:t>欧盟AI法案生效，建立全球首部全面AI监管法律框架。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AI拟人化互动服务进入强监管阶段。7月15日《人工智能拟人化互动服务管理暂行办法》正式施行，标志着中国对AI聊天机器人、虚拟主播等拟人化服务的监管从原则性指引转向具体规则。该办法要求服务提供者进行安全评估、标注AI身份、保护用户数据，并禁止生成违法内容。此举旨在防范AI拟人化带来的诈骗、隐私泄露和伦理风险，预计后续将配套出台技术标准和检测认证体系，形成‘准入+过程+退出’的全链条管理。</w:t>
      </w:r>
    </w:p>
    <w:p>
      <w:r>
        <w:rPr>
          <w:b/>
          <w:color w:val="5B6DE4"/>
        </w:rPr>
        <w:t xml:space="preserve">②  </w:t>
      </w:r>
      <w:r>
        <w:t>趋势2：零碳算力成为算力基础设施建设的硬约束。工信部7月22日发布通知，将零碳算力设施纳入国家级零碳工厂建设范畴，要求算力中心在规划、建设和运营中实现碳中和。这反映出‘东数西算’工程在追求算力规模的同时，开始强化绿色低碳导向。政策逻辑在于，算力中心能耗巨大，若不加以约束，将加剧碳排放压力。预计未来新建算力枢纽将强制配套可再生能源和碳捕集技术，存量中心面临节能改造压力。</w:t>
      </w:r>
    </w:p>
    <w:p>
      <w:r>
        <w:rPr>
          <w:b/>
          <w:color w:val="5B6DE4"/>
        </w:rPr>
        <w:t xml:space="preserve">③  </w:t>
      </w:r>
      <w:r>
        <w:t>趋势3：普惠算力政策加速落地，中小企业成为重点赋能对象。工信部4月启动的普惠算力赋能中小企业专项行动，与浙江、天津等地支持万卡集群、开放算力平台的政策形成联动。其核心逻辑是降低AI应用门槛，防止算力资源向头部企业过度集中，避免‘算力鸿沟’加剧产业分化。下一步，各地可能推出算力券、补贴等财政工具，同时需警惕算力资源分配不透明、滥用补贴等问题，需建立公平高效的分配机制。</w:t>
      </w:r>
    </w:p>
    <w:p>
      <w:r>
        <w:rPr>
          <w:b/>
          <w:color w:val="5B6DE4"/>
        </w:rPr>
        <w:t xml:space="preserve">④  </w:t>
      </w:r>
      <w:r>
        <w:t>趋势4：工业数据筑基行动推动AI与制造业深度融合。工信部3月启动的工业数据筑基行动，通过建设高质量行业数据集，解决工业AI训练数据匮乏的痛点。政策意图在于打通‘数据-算法-应用’闭环，加速工业互联网从‘连接’向‘智能’升级。此举有望催生一批行业级数据标注和交易平台，但数据确权、跨企业共享的合规风险仍需通过《网络数据安全风险评估办法》等制度加以化解。</w:t>
      </w:r>
    </w:p>
    <w:p>
      <w:r>
        <w:rPr>
          <w:b/>
          <w:color w:val="5B6DE4"/>
        </w:rPr>
        <w:t xml:space="preserve">⑤  </w:t>
      </w:r>
      <w:r>
        <w:t>趋势5：生成式AI备案制度常态化，合规成本与创新活力需平衡。网信办7月发布2026年5-6月生成式AI服务备案公告，显示备案已成为常态化监管手段。备案制度有助于掌握市场动态、防范风险，但也增加了企业合规成本。政策逻辑是在安全与发展之间寻求平衡，但若备案流程繁琐、标准模糊，可能抑制中小创新企业的积极性。未来需优化备案流程，明确技术合规边界，并探索分级分类管理。</w:t>
      </w:r>
    </w:p>
    <w:p>
      <w:r>
        <w:rPr>
          <w:b/>
          <w:color w:val="5B6DE4"/>
        </w:rPr>
        <w:t xml:space="preserve">⑥  </w:t>
      </w:r>
      <w:r>
        <w:t>趋势6（国际比较）：中国AI监管路径与欧盟趋同但侧重不同。欧盟AI法案于2026年1月生效，采用风险分级（不可接受风险、高风险、有限风险、极低风险）的横向监管模式；中国则通过《人工智能拟人化互动服务管理暂行办法》《生成式人工智能服务管理暂行办法》等专项规章进行纵向细分监管。两者均强调风险预防，但中国更注重产业促进与安全监管并重，如通过普惠算力政策降低企业成本。美国则仍以行业自律为主，缺乏联邦统一立法。中国可借鉴欧盟的风险分级经验，细化AI应用场景的监管颗粒度，同时保持政策灵活性以支持技术创新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