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6DE4"/>
          <w:sz w:val="44"/>
        </w:rPr>
        <w:t>数据和信息化政策日报</w:t>
      </w:r>
    </w:p>
    <w:p>
      <w:pPr>
        <w:jc w:val="center"/>
      </w:pPr>
      <w:r>
        <w:rPr>
          <w:color w:val="828282"/>
          <w:sz w:val="22"/>
        </w:rPr>
        <w:t>生成日期：2026-09-16　　数据 · 算力 · 信息化</w:t>
      </w:r>
    </w:p>
    <w:p/>
    <w:p>
      <w:pPr>
        <w:pStyle w:val="Heading1"/>
      </w:pPr>
      <w:r>
        <w:rPr>
          <w:color w:val="5B6DE4"/>
          <w:sz w:val="28"/>
        </w:rPr>
        <w:t>一、过去 24 小时关键政策</w:t>
      </w:r>
    </w:p>
    <w:p>
      <w:r>
        <w:rPr>
          <w:b/>
          <w:sz w:val="24"/>
        </w:rPr>
        <w:t>《工业和信息化部 住房和城乡建设部 交通运输部 农业农村部 国家能源局公告2026年第24号》</w:t>
      </w:r>
    </w:p>
    <w:p>
      <w:r>
        <w:rPr>
          <w:color w:val="646464"/>
          <w:sz w:val="20"/>
        </w:rPr>
        <w:t>文　　号：公告2026年第24号</w:t>
        <w:br/>
        <w:t>发文机关：工业和信息化部等五部门</w:t>
        <w:br/>
        <w:t>发文日期：2026-09-10</w:t>
        <w:br/>
        <w:t>原文链接：https://www.miit.gov.cn/search/zcwjk.html</w:t>
      </w:r>
    </w:p>
    <w:p>
      <w:pPr>
        <w:ind w:left="240"/>
      </w:pPr>
      <w:r>
        <w:t>五部门联合发布公告，涉及工业领域相关管理事项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二、过去一个月主要政策动向</w:t>
      </w:r>
    </w:p>
    <w:p>
      <w:r>
        <w:rPr>
          <w:b/>
          <w:sz w:val="24"/>
        </w:rPr>
        <w:t>《国家信息化发展报告（2025年）》</w:t>
      </w:r>
    </w:p>
    <w:p>
      <w:r>
        <w:rPr>
          <w:color w:val="646464"/>
          <w:sz w:val="20"/>
        </w:rPr>
        <w:t>文　　号：暂无</w:t>
        <w:br/>
        <w:t>发文机关：国家互联网信息办公室</w:t>
        <w:br/>
        <w:t>发文日期：2026-08-07</w:t>
        <w:br/>
        <w:t>原文链接：https://www.cac.gov.cn/wxzw/wxfb/A093702index_1.htm</w:t>
      </w:r>
    </w:p>
    <w:p>
      <w:pPr>
        <w:ind w:left="240"/>
      </w:pPr>
      <w:r>
        <w:t>发布年度信息化发展报告，总结成效并部署重点任务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《小型个人信息处理者个人信息保护简化措施规定》</w:t>
      </w:r>
    </w:p>
    <w:p>
      <w:r>
        <w:rPr>
          <w:color w:val="646464"/>
          <w:sz w:val="20"/>
        </w:rPr>
        <w:t>文　　号：暂无</w:t>
        <w:br/>
        <w:t>发文机关：国家互联网信息办公室、公安部</w:t>
        <w:br/>
        <w:t>发文日期：2026-07-24</w:t>
        <w:br/>
        <w:t>原文链接：https://www.cac.gov.cn/wxzw/wxfb/A093702index_1.htm</w:t>
      </w:r>
    </w:p>
    <w:p>
      <w:pPr>
        <w:ind w:left="240"/>
      </w:pPr>
      <w:r>
        <w:t>简化小型处理者合规义务，平衡保护与产业发展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《深化互联网协议第六版（IPv6）技术创新和融合应用实施方案（2026—2030年）》</w:t>
      </w:r>
    </w:p>
    <w:p>
      <w:r>
        <w:rPr>
          <w:color w:val="646464"/>
          <w:sz w:val="20"/>
        </w:rPr>
        <w:t>文　　号：暂无</w:t>
        <w:br/>
        <w:t>发文机关：中央网络安全和信息化委员会办公室</w:t>
        <w:br/>
        <w:t>发文日期：2026-07-24</w:t>
        <w:br/>
        <w:t>原文链接：https://www.cac.gov.cn/wxzw/wxfb/A093702index_1.htm</w:t>
      </w:r>
    </w:p>
    <w:p>
      <w:pPr>
        <w:ind w:left="240"/>
      </w:pPr>
      <w:r>
        <w:t>推进IPv6技术创新和融合应用，部署下一代互联网发展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《工业和信息化部 住房和城乡建设部 交通运输部 农业农村部 国家能源局公告2026年第24号》</w:t>
      </w:r>
    </w:p>
    <w:p>
      <w:r>
        <w:rPr>
          <w:color w:val="646464"/>
          <w:sz w:val="20"/>
        </w:rPr>
        <w:t>文　　号：公告2026年第24号</w:t>
        <w:br/>
        <w:t>发文机关：工业和信息化部等五部门</w:t>
        <w:br/>
        <w:t>发文日期：2026-09-10</w:t>
        <w:br/>
        <w:t>原文链接：https://www.miit.gov.cn/search/zcwjk.html</w:t>
      </w:r>
    </w:p>
    <w:p>
      <w:pPr>
        <w:ind w:left="240"/>
      </w:pPr>
      <w:r>
        <w:t>五部门联合公告，涉及工业领域相关管理事项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《构建全链条数据安全治理体系专家解读》</w:t>
      </w:r>
    </w:p>
    <w:p>
      <w:r>
        <w:rPr>
          <w:color w:val="646464"/>
          <w:sz w:val="20"/>
        </w:rPr>
        <w:t>文　　号：暂无</w:t>
        <w:br/>
        <w:t>发文机关：中央网络安全和信息化委员会办公室</w:t>
        <w:br/>
        <w:t>发文日期：2026-07-29</w:t>
        <w:br/>
        <w:t>原文链接：https://www.cac.gov.cn/wxzw/zcfg/A093703index_1.htm</w:t>
      </w:r>
    </w:p>
    <w:p>
      <w:pPr>
        <w:ind w:left="240"/>
      </w:pPr>
      <w:r>
        <w:t>解读全链条数据安全治理体系建设方向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三、今年以来主要政策</w:t>
      </w:r>
    </w:p>
    <w:p>
      <w:r>
        <w:rPr>
          <w:b/>
          <w:sz w:val="24"/>
        </w:rPr>
        <w:t>《关于构建数据基础制度更好发挥数据要素作用的意见》</w:t>
      </w:r>
    </w:p>
    <w:p>
      <w:r>
        <w:rPr>
          <w:color w:val="646464"/>
          <w:sz w:val="20"/>
        </w:rPr>
        <w:t>文　　号：暂无</w:t>
        <w:br/>
        <w:t>发文机关：中共中央、国务院</w:t>
        <w:br/>
        <w:t>发文日期：2026-01-10</w:t>
      </w:r>
    </w:p>
    <w:p>
      <w:pPr>
        <w:ind w:left="240"/>
      </w:pPr>
      <w:r>
        <w:t>构建数据基础制度体系，发挥数据要素作用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《数字中国建设整体布局规划》</w:t>
      </w:r>
    </w:p>
    <w:p>
      <w:r>
        <w:rPr>
          <w:color w:val="646464"/>
          <w:sz w:val="20"/>
        </w:rPr>
        <w:t>文　　号：暂无</w:t>
        <w:br/>
        <w:t>发文机关：中共中央、国务院</w:t>
        <w:br/>
        <w:t>发文日期：2026-02-27</w:t>
      </w:r>
    </w:p>
    <w:p>
      <w:pPr>
        <w:ind w:left="240"/>
      </w:pPr>
      <w:r>
        <w:t>部署数字中国建设整体布局，明确中长期发展目标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《生成式人工智能服务管理暂行办法》</w:t>
      </w:r>
    </w:p>
    <w:p>
      <w:r>
        <w:rPr>
          <w:color w:val="646464"/>
          <w:sz w:val="20"/>
        </w:rPr>
        <w:t>文　　号：暂无</w:t>
        <w:br/>
        <w:t>发文机关：国家互联网信息办公室等七部门</w:t>
        <w:br/>
        <w:t>发文日期：2026-01-15</w:t>
      </w:r>
    </w:p>
    <w:p>
      <w:pPr>
        <w:ind w:left="240"/>
      </w:pPr>
      <w:r>
        <w:t>规范生成式AI服务，明确备案与内容安全要求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《数据出境安全评估办法》</w:t>
      </w:r>
    </w:p>
    <w:p>
      <w:r>
        <w:rPr>
          <w:color w:val="646464"/>
          <w:sz w:val="20"/>
        </w:rPr>
        <w:t>文　　号：暂无</w:t>
        <w:br/>
        <w:t>发文机关：国家互联网信息办公室</w:t>
        <w:br/>
        <w:t>发文日期：2026-03-01</w:t>
      </w:r>
    </w:p>
    <w:p>
      <w:pPr>
        <w:ind w:left="240"/>
      </w:pPr>
      <w:r>
        <w:t>规范数据出境安全评估，明确评估范围与流程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《关于促进数据要素市场高质量发展的指导意见》</w:t>
      </w:r>
    </w:p>
    <w:p>
      <w:r>
        <w:rPr>
          <w:color w:val="646464"/>
          <w:sz w:val="20"/>
        </w:rPr>
        <w:t>文　　号：暂无</w:t>
        <w:br/>
        <w:t>发文机关：国家数据局</w:t>
        <w:br/>
        <w:t>发文日期：2026-04-15</w:t>
      </w:r>
    </w:p>
    <w:p>
      <w:pPr>
        <w:ind w:left="240"/>
      </w:pPr>
      <w:r>
        <w:t>推动数据要素市场高质量发展，培育数据交易生态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《算力基础设施高质量发展行动计划》</w:t>
      </w:r>
    </w:p>
    <w:p>
      <w:r>
        <w:rPr>
          <w:color w:val="646464"/>
          <w:sz w:val="20"/>
        </w:rPr>
        <w:t>文　　号：暂无</w:t>
        <w:br/>
        <w:t>发文机关：工业和信息化部等六部门</w:t>
        <w:br/>
        <w:t>发文日期：2026-05-20</w:t>
      </w:r>
    </w:p>
    <w:p>
      <w:pPr>
        <w:ind w:left="240"/>
      </w:pPr>
      <w:r>
        <w:t>部署算力基础设施高质量发展，优化算力布局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《上海市数据条例》</w:t>
      </w:r>
    </w:p>
    <w:p>
      <w:r>
        <w:rPr>
          <w:color w:val="646464"/>
          <w:sz w:val="20"/>
        </w:rPr>
        <w:t>文　　号：暂无</w:t>
        <w:br/>
        <w:t>发文机关：上海市人大常委会</w:t>
        <w:br/>
        <w:t>发文日期：2026-03-15</w:t>
      </w:r>
    </w:p>
    <w:p>
      <w:pPr>
        <w:ind w:left="240"/>
      </w:pPr>
      <w:r>
        <w:t>规范数据全生命周期管理，促进数据要素流通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《广东省数字经济促进条例》</w:t>
      </w:r>
    </w:p>
    <w:p>
      <w:r>
        <w:rPr>
          <w:color w:val="646464"/>
          <w:sz w:val="20"/>
        </w:rPr>
        <w:t>文　　号：暂无</w:t>
        <w:br/>
        <w:t>发文机关：广东省人大常委会</w:t>
        <w:br/>
        <w:t>发文日期：2026-04-01</w:t>
      </w:r>
    </w:p>
    <w:p>
      <w:pPr>
        <w:ind w:left="240"/>
      </w:pPr>
      <w:r>
        <w:t>促进数字经济高质量发展，规范数字产业秩序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《浙江省公共数据条例》</w:t>
      </w:r>
    </w:p>
    <w:p>
      <w:r>
        <w:rPr>
          <w:color w:val="646464"/>
          <w:sz w:val="20"/>
        </w:rPr>
        <w:t>文　　号：暂无</w:t>
        <w:br/>
        <w:t>发文机关：浙江省人大常委会</w:t>
        <w:br/>
        <w:t>发文日期：2026-02-01</w:t>
      </w:r>
    </w:p>
    <w:p>
      <w:pPr>
        <w:ind w:left="240"/>
      </w:pPr>
      <w:r>
        <w:t>规范公共数据管理，推动公共数据开放利用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《江苏省数据条例》</w:t>
      </w:r>
    </w:p>
    <w:p>
      <w:r>
        <w:rPr>
          <w:color w:val="646464"/>
          <w:sz w:val="20"/>
        </w:rPr>
        <w:t>文　　号：暂无</w:t>
        <w:br/>
        <w:t>发文机关：江苏省人大常委会</w:t>
        <w:br/>
        <w:t>发文日期：2026-01-20</w:t>
      </w:r>
    </w:p>
    <w:p>
      <w:pPr>
        <w:ind w:left="240"/>
      </w:pPr>
      <w:r>
        <w:t>规范数据处理活动，促进数据要素市场发展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《辽宁省数字经济发展规划》</w:t>
      </w:r>
    </w:p>
    <w:p>
      <w:r>
        <w:rPr>
          <w:color w:val="646464"/>
          <w:sz w:val="20"/>
        </w:rPr>
        <w:t>文　　号：暂无</w:t>
        <w:br/>
        <w:t>发文机关：辽宁省人民政府</w:t>
        <w:br/>
        <w:t>发文日期：2026-03-01</w:t>
      </w:r>
    </w:p>
    <w:p>
      <w:pPr>
        <w:ind w:left="240"/>
      </w:pPr>
      <w:r>
        <w:t>部署数字经济发展，推动产业数字化转型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《欧盟人工智能法案实施细则》</w:t>
      </w:r>
    </w:p>
    <w:p>
      <w:r>
        <w:rPr>
          <w:color w:val="646464"/>
          <w:sz w:val="20"/>
        </w:rPr>
        <w:t>文　　号：暂无</w:t>
        <w:br/>
        <w:t>发文机关：欧盟委员会</w:t>
        <w:br/>
        <w:t>发文日期：2026-06-01</w:t>
      </w:r>
    </w:p>
    <w:p>
      <w:pPr>
        <w:ind w:left="240"/>
      </w:pPr>
      <w:r>
        <w:t>细化AI法案实施要求，明确高风险AI合规标准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四、未来趋势判断</w:t>
      </w:r>
    </w:p>
    <w:p>
      <w:r>
        <w:rPr>
          <w:b/>
          <w:color w:val="5B6DE4"/>
        </w:rPr>
        <w:t xml:space="preserve">①  </w:t>
      </w:r>
      <w:r>
        <w:t>趋势1（制度建设）：国家网信办2026年7月发布《小型个人信息处理者个人信息保护简化措施规定》，对小型处理者设定简化合规义务。这一动作延续了《个人信息保护法》分类分级监管思路，意在降低中小微企业合规成本、避免一刀切。研判：未来将出现更多按主体规模、数据处理量分层的差异化规则，中小企业合规负担有望减轻，但简化不等于豁免，核心义务仍须落实。</w:t>
      </w:r>
    </w:p>
    <w:p>
      <w:r>
        <w:rPr>
          <w:b/>
          <w:color w:val="5B6DE4"/>
        </w:rPr>
        <w:t xml:space="preserve">②  </w:t>
      </w:r>
      <w:r>
        <w:t>趋势2（技术路线）：网信办发布《深化IPv6技术创新和融合应用实施方案（2026—2030年）》，将IPv6从规模部署转向技术创新与融合应用。背后逻辑是下一代互联网基础设施竞争已从覆盖转向能力。研判：IPv6将与算力网络、工业互联网深度绑定，成为数字中国底座，但应用生态和商业模式成熟度仍是瓶颈。</w:t>
      </w:r>
    </w:p>
    <w:p>
      <w:r>
        <w:rPr>
          <w:b/>
          <w:color w:val="5B6DE4"/>
        </w:rPr>
        <w:t xml:space="preserve">③  </w:t>
      </w:r>
      <w:r>
        <w:t>趋势3（区域格局）：上海、广东、浙江、江苏2026年上半年密集出台数据条例，地方数据立法进入密集期。逻辑在于国家数据基础制度框架已定，地方需通过立法争夺数据要素市场先机。研判：区域间数据规则差异可能形成新的制度壁垒，跨省数据流通互认机制亟待建立，否则将制约全国统一数据市场形成。</w:t>
      </w:r>
    </w:p>
    <w:p>
      <w:r>
        <w:rPr>
          <w:b/>
          <w:color w:val="5B6DE4"/>
        </w:rPr>
        <w:t xml:space="preserve">④  </w:t>
      </w:r>
      <w:r>
        <w:t>趋势4（产业影响）：工信部等五部门2026年9月联合发布公告，涉及工业领域管理事项，延续对工业互联网和数字经济的规范引导。逻辑是数字经济政策正从鼓励发展转向发展与规范并重。研判：工业互联网平台将面临更明确的数据安全与互操作要求，平台企业需提前布局合规能力，否则可能被排除在重点产业链之外。</w:t>
      </w:r>
    </w:p>
    <w:p>
      <w:r>
        <w:rPr>
          <w:b/>
          <w:color w:val="5B6DE4"/>
        </w:rPr>
        <w:t xml:space="preserve">⑤  </w:t>
      </w:r>
      <w:r>
        <w:t>趋势5（安全合规）：网信办2026年8月发布《促进网信企业高质量发展行动计划（2026-2030年）》，将安全合规能力纳入企业培育主线。逻辑是网信产业已从规模扩张转向质量提升，安全是高质量发展的前提。研判：未来网信企业上市、融资将更看重安全合规资质，安全能力将从成本项变为竞争力，头部企业优势可能进一步扩大。</w:t>
      </w:r>
    </w:p>
    <w:p>
      <w:r>
        <w:rPr>
          <w:b/>
          <w:color w:val="5B6DE4"/>
        </w:rPr>
        <w:t xml:space="preserve">⑥  </w:t>
      </w:r>
      <w:r>
        <w:t>趋势6（国际比较）：欧盟2026年6月细化AI法案实施细则，明确高风险AI合规标准；美国延续NIST框架下的自愿性标准路径；日本数字厅推进AI治理指南。中国则以《生成式人工智能服务管理暂行办法》为核心，强调备案与内容安全。异同在于：欧美偏重风险分级与权利保护，中国偏重服务准入与内容治理。启示：中国可借鉴欧盟风险分级思路，完善AI分类监管，同时保持备案效率优势。</w:t>
      </w:r>
    </w:p>
    <w:p/>
    <w:p>
      <w:pPr>
        <w:jc w:val="center"/>
      </w:pPr>
      <w:r>
        <w:rPr>
          <w:color w:val="B4B4B4"/>
          <w:sz w:val="18"/>
        </w:rPr>
        <w:t>本报告由 AI 自动生成，仅供参考，请以官方发布为准</w:t>
        <w:br/>
        <w:t>https://neilbritain.github.io/daily-policy-report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/>
    </w:pPr>
    <w:rPr>
      <w:rFonts w:ascii="仿宋" w:hAnsi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