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生成日期：2026-07-27　　数据 · 算力 · 信息化</w:t>
      </w:r>
    </w:p>
    <w:p/>
    <w:p>
      <w:pPr>
        <w:pStyle w:val="Heading1"/>
      </w:pPr>
      <w:r>
        <w:rPr>
          <w:color w:val="5B6DE4"/>
          <w:sz w:val="28"/>
        </w:rPr>
        <w:t>一、过去 24 小时关键政策</w:t>
      </w:r>
    </w:p>
    <w:p>
      <w:r>
        <w:rPr>
          <w:b/>
          <w:sz w:val="24"/>
        </w:rPr>
        <w:t>《国家网信办将在2026年APEC数字周期间举办系列活动》</w:t>
      </w:r>
    </w:p>
    <w:p>
      <w:r>
        <w:rPr>
          <w:color w:val="646464"/>
          <w:sz w:val="20"/>
        </w:rPr>
        <w:t>文　　号：暂无</w:t>
        <w:br/>
        <w:t>发文机关：国家互联网信息办公室</w:t>
        <w:br/>
        <w:t>发文日期：2026-07-14</w:t>
      </w:r>
    </w:p>
    <w:p>
      <w:pPr>
        <w:ind w:left="240"/>
      </w:pPr>
      <w:r>
        <w:t>APEC数字周期间举办系列活动，聚焦数字经济与人工智能治理。</w:t>
      </w:r>
    </w:p>
    <w:p>
      <w:pPr>
        <w:spacing w:before="0" w:after="80"/>
        <w:pBdr>
          <w:bottom w:val="single" w:sz="4" w:space="1" w:color="DDDDDD"/>
        </w:pBdr>
      </w:pPr>
    </w:p>
    <w:p>
      <w:r>
        <w:rPr>
          <w:b/>
          <w:sz w:val="24"/>
        </w:rPr>
        <w:t>《2026年“人工智能+电竞创新应用大赛”启动》</w:t>
      </w:r>
    </w:p>
    <w:p>
      <w:r>
        <w:rPr>
          <w:color w:val="646464"/>
          <w:sz w:val="20"/>
        </w:rPr>
        <w:t>文　　号：暂无</w:t>
        <w:br/>
        <w:t>发文机关：广西壮族自治区大数据发展局</w:t>
        <w:br/>
        <w:t>发文日期：2026-07-15</w:t>
      </w:r>
    </w:p>
    <w:p>
      <w:pPr>
        <w:ind w:left="240"/>
      </w:pPr>
      <w:r>
        <w:t>以大赛形式推动人工智能在电竞领域的创新应用。</w:t>
      </w:r>
    </w:p>
    <w:p>
      <w:pPr>
        <w:spacing w:before="0" w:after="80"/>
        <w:pBdr>
          <w:bottom w:val="single" w:sz="4" w:space="1" w:color="DDDDDD"/>
        </w:pBdr>
      </w:pPr>
    </w:p>
    <w:p/>
    <w:p>
      <w:pPr>
        <w:pStyle w:val="Heading1"/>
      </w:pPr>
      <w:r>
        <w:rPr>
          <w:color w:val="5B6DE4"/>
          <w:sz w:val="28"/>
        </w:rPr>
        <w:t>二、过去一个月主要政策动向</w:t>
      </w:r>
    </w:p>
    <w:p>
      <w:r>
        <w:rPr>
          <w:b/>
          <w:sz w:val="24"/>
        </w:rPr>
        <w:t>《省发展改革委关于省政协十三届三次会议第678号提案的答复》</w:t>
      </w:r>
    </w:p>
    <w:p>
      <w:r>
        <w:rPr>
          <w:color w:val="646464"/>
          <w:sz w:val="20"/>
        </w:rPr>
        <w:t>文　　号：暂无</w:t>
        <w:br/>
        <w:t>发文机关：浙江省发展和改革委员会</w:t>
        <w:br/>
        <w:t>发文日期：2026-06-25</w:t>
      </w:r>
    </w:p>
    <w:p>
      <w:pPr>
        <w:ind w:left="240"/>
      </w:pPr>
      <w:r>
        <w:t>支持之江人工智能公共算力平台建设万卡级计算集群。</w:t>
      </w:r>
    </w:p>
    <w:p>
      <w:pPr>
        <w:spacing w:before="0" w:after="80"/>
        <w:pBdr>
          <w:bottom w:val="single" w:sz="4" w:space="1" w:color="DDDDDD"/>
        </w:pBdr>
      </w:pPr>
    </w:p>
    <w:p>
      <w:r>
        <w:rPr>
          <w:b/>
          <w:sz w:val="24"/>
        </w:rPr>
        <w:t>《互联网信息内容多渠道分发服务管理规定》</w:t>
      </w:r>
    </w:p>
    <w:p>
      <w:r>
        <w:rPr>
          <w:color w:val="646464"/>
          <w:sz w:val="20"/>
        </w:rPr>
        <w:t>文　　号：暂无</w:t>
        <w:br/>
        <w:t>发文机关：中央网络安全和信息化委员会办公室</w:t>
        <w:br/>
        <w:t>发文日期：2026-05-29</w:t>
        <w:br/>
        <w:t>原文链接：https://www.cac.gov.cn/wxzw/zcfg/A093703index_1.htm</w:t>
      </w:r>
    </w:p>
    <w:p>
      <w:pPr>
        <w:ind w:left="240"/>
      </w:pPr>
      <w:r>
        <w:t>规范互联网信息内容多渠道分发服务，促进健康发展。</w:t>
      </w:r>
    </w:p>
    <w:p>
      <w:pPr>
        <w:spacing w:before="0" w:after="80"/>
        <w:pBdr>
          <w:bottom w:val="single" w:sz="4" w:space="1" w:color="DDDDDD"/>
        </w:pBdr>
      </w:pPr>
    </w:p>
    <w:p>
      <w:r>
        <w:rPr>
          <w:b/>
          <w:sz w:val="24"/>
        </w:rPr>
        <w:t>《广西规上工业企业数智化转型工作指引（2026版）》</w:t>
      </w:r>
    </w:p>
    <w:p>
      <w:r>
        <w:rPr>
          <w:color w:val="646464"/>
          <w:sz w:val="20"/>
        </w:rPr>
        <w:t>文　　号：暂无</w:t>
        <w:br/>
        <w:t>发文机关：广西壮族自治区工业和信息化厅</w:t>
        <w:br/>
        <w:t>发文日期：2026-07-01</w:t>
      </w:r>
    </w:p>
    <w:p>
      <w:pPr>
        <w:ind w:left="240"/>
      </w:pPr>
      <w:r>
        <w:t>推动规上工业企业数智化转型全域覆盖、整体提效。</w:t>
      </w:r>
    </w:p>
    <w:p>
      <w:pPr>
        <w:spacing w:before="0" w:after="80"/>
        <w:pBdr>
          <w:bottom w:val="single" w:sz="4" w:space="1" w:color="DDDDDD"/>
        </w:pBdr>
      </w:pPr>
    </w:p>
    <w:p>
      <w:r>
        <w:rPr>
          <w:b/>
          <w:sz w:val="24"/>
        </w:rPr>
        <w:t>《关于推动互联网基础资源高质量发展的指导意见》</w:t>
      </w:r>
    </w:p>
    <w:p>
      <w:r>
        <w:rPr>
          <w:color w:val="646464"/>
          <w:sz w:val="20"/>
        </w:rPr>
        <w:t>文　　号：暂无</w:t>
        <w:br/>
        <w:t>发文机关：工业和信息化部、中央网信办、国家发展改革委、国家数据局</w:t>
        <w:br/>
        <w:t>发文日期：2026-07-01</w:t>
        <w:br/>
        <w:t>原文链接：https://gyxxh.tj.gov.cn/ZWGK4147/ZCWJ6355/gjjwj/202607/t20260713_7334666.html</w:t>
      </w:r>
    </w:p>
    <w:p>
      <w:pPr>
        <w:ind w:left="240"/>
      </w:pPr>
      <w:r>
        <w:t>四部门联合印发，推动互联网基础资源高质量发展。</w:t>
      </w:r>
    </w:p>
    <w:p>
      <w:pPr>
        <w:spacing w:before="0" w:after="80"/>
        <w:pBdr>
          <w:bottom w:val="single" w:sz="4" w:space="1" w:color="DDDDDD"/>
        </w:pBdr>
      </w:pPr>
    </w:p>
    <w:p>
      <w:r>
        <w:rPr>
          <w:b/>
          <w:sz w:val="24"/>
        </w:rPr>
        <w:t>《天津市算力产业发展实施方案（2024—2026年）》</w:t>
      </w:r>
    </w:p>
    <w:p>
      <w:r>
        <w:rPr>
          <w:color w:val="646464"/>
          <w:sz w:val="20"/>
        </w:rPr>
        <w:t>文　　号：暂无</w:t>
        <w:br/>
        <w:t>发文机关：天津市工业和信息化局</w:t>
        <w:br/>
        <w:t>发文日期：2024-07-22</w:t>
        <w:br/>
        <w:t>原文链接：https://gyxxh.tj.gov.cn/ZWGK4147/ZCWJ6355/sjwj/202407/t20240722_6681036.html</w:t>
      </w:r>
    </w:p>
    <w:p>
      <w:pPr>
        <w:ind w:left="240"/>
      </w:pPr>
      <w:r>
        <w:t>统筹通用、智能、超级算力一体化布局，打造算力产业高地。</w:t>
      </w:r>
    </w:p>
    <w:p>
      <w:pPr>
        <w:spacing w:before="0" w:after="80"/>
        <w:pBdr>
          <w:bottom w:val="single" w:sz="4" w:space="1" w:color="DDDDDD"/>
        </w:pBdr>
      </w:pPr>
    </w:p>
    <w:p/>
    <w:p>
      <w:pPr>
        <w:pStyle w:val="Heading1"/>
      </w:pPr>
      <w:r>
        <w:rPr>
          <w:color w:val="5B6DE4"/>
          <w:sz w:val="28"/>
        </w:rPr>
        <w:t>三、今年以来主要政策</w:t>
      </w:r>
    </w:p>
    <w:p>
      <w:r>
        <w:rPr>
          <w:b/>
          <w:sz w:val="24"/>
        </w:rPr>
        <w:t>《工业和信息化部办公厅关于公布数字赋能基层减负典型案例名单的通知》</w:t>
      </w:r>
    </w:p>
    <w:p>
      <w:r>
        <w:rPr>
          <w:color w:val="646464"/>
          <w:sz w:val="20"/>
        </w:rPr>
        <w:t>文　　号：暂无</w:t>
        <w:br/>
        <w:t>发文机关：工业和信息化部办公厅</w:t>
        <w:br/>
        <w:t>发文日期：2026-02-24</w:t>
        <w:br/>
        <w:t>原文链接：https://wap.miit.gov.cn/jgsj/xxjsfzs/wjfb/</w:t>
      </w:r>
    </w:p>
    <w:p>
      <w:pPr>
        <w:ind w:left="240"/>
      </w:pPr>
      <w:r>
        <w:t>推广数字技术赋能基层减负的典型经验。</w:t>
      </w:r>
    </w:p>
    <w:p>
      <w:pPr>
        <w:spacing w:before="0" w:after="80"/>
        <w:pBdr>
          <w:bottom w:val="single" w:sz="4" w:space="1" w:color="DDDDDD"/>
        </w:pBdr>
      </w:pPr>
    </w:p>
    <w:p>
      <w:r>
        <w:rPr>
          <w:b/>
          <w:sz w:val="24"/>
        </w:rPr>
        <w:t>《福建省工业和信息化厅关于开展2026年省级工业数字化转型项目申报的通知》</w:t>
      </w:r>
    </w:p>
    <w:p>
      <w:r>
        <w:rPr>
          <w:color w:val="646464"/>
          <w:sz w:val="20"/>
        </w:rPr>
        <w:t>文　　号：闽工信函信息〔2026〕43号</w:t>
        <w:br/>
        <w:t>发文机关：福建省工业和信息化厅</w:t>
        <w:br/>
        <w:t>发文日期：2026-01-28</w:t>
        <w:br/>
        <w:t>原文链接：https://gxt.fujian.gov.cn/zwgk/zfxxgk/fdzdgknr/gzdt/202601/t20260128_7086399.htm?assistant=true</w:t>
      </w:r>
    </w:p>
    <w:p>
      <w:pPr>
        <w:ind w:left="240"/>
      </w:pPr>
      <w:r>
        <w:t>组织申报2026年省级工业数字化转型项目。</w:t>
      </w:r>
    </w:p>
    <w:p>
      <w:pPr>
        <w:spacing w:before="0" w:after="80"/>
        <w:pBdr>
          <w:bottom w:val="single" w:sz="4" w:space="1" w:color="DDDDDD"/>
        </w:pBdr>
      </w:pPr>
    </w:p>
    <w:p>
      <w:r>
        <w:rPr>
          <w:b/>
          <w:sz w:val="24"/>
        </w:rPr>
        <w:t>《第五届全国信息技术标准化技术委员会第一次全体会议在京召开》</w:t>
      </w:r>
    </w:p>
    <w:p>
      <w:r>
        <w:rPr>
          <w:color w:val="646464"/>
          <w:sz w:val="20"/>
        </w:rPr>
        <w:t>文　　号：暂无</w:t>
        <w:br/>
        <w:t>发文机关：工业和信息化部</w:t>
        <w:br/>
        <w:t>发文日期：2026-06-01</w:t>
        <w:br/>
        <w:t>原文链接：https://www.miit.gov.cn/xbymdz/xwfb/gxdt/</w:t>
      </w:r>
    </w:p>
    <w:p>
      <w:pPr>
        <w:ind w:left="240"/>
      </w:pPr>
      <w:r>
        <w:t>部署信息技术标准化重点工作，推动标准体系建设。</w:t>
      </w:r>
    </w:p>
    <w:p>
      <w:pPr>
        <w:spacing w:before="0" w:after="80"/>
        <w:pBdr>
          <w:bottom w:val="single" w:sz="4" w:space="1" w:color="DDDDDD"/>
        </w:pBdr>
      </w:pPr>
    </w:p>
    <w:p>
      <w:r>
        <w:rPr>
          <w:b/>
          <w:sz w:val="24"/>
        </w:rPr>
        <w:t>《2026金砖国家新工业革命伙伴关系论坛在厦门开幕》</w:t>
      </w:r>
    </w:p>
    <w:p>
      <w:r>
        <w:rPr>
          <w:color w:val="646464"/>
          <w:sz w:val="20"/>
        </w:rPr>
        <w:t>文　　号：暂无</w:t>
        <w:br/>
        <w:t>发文机关：工业和信息化部</w:t>
        <w:br/>
        <w:t>发文日期：2026-05-28</w:t>
        <w:br/>
        <w:t>原文链接：https://www.miit.gov.cn/xbymdz/xwfb/gxdt/</w:t>
      </w:r>
    </w:p>
    <w:p>
      <w:pPr>
        <w:ind w:left="240"/>
      </w:pPr>
      <w:r>
        <w:t>深化金砖国家在数字经济、工业互联网等领域合作。</w:t>
      </w:r>
    </w:p>
    <w:p>
      <w:pPr>
        <w:spacing w:before="0" w:after="80"/>
        <w:pBdr>
          <w:bottom w:val="single" w:sz="4" w:space="1" w:color="DDDDDD"/>
        </w:pBdr>
      </w:pPr>
    </w:p>
    <w:p>
      <w:r>
        <w:rPr>
          <w:b/>
          <w:sz w:val="24"/>
        </w:rPr>
        <w:t>《工业和信息化部科技咨询委员会召开全体会议》</w:t>
      </w:r>
    </w:p>
    <w:p>
      <w:r>
        <w:rPr>
          <w:color w:val="646464"/>
          <w:sz w:val="20"/>
        </w:rPr>
        <w:t>文　　号：暂无</w:t>
        <w:br/>
        <w:t>发文机关：工业和信息化部</w:t>
        <w:br/>
        <w:t>发文日期：2026-05-27</w:t>
        <w:br/>
        <w:t>原文链接：https://www.miit.gov.cn/xbymdz/xwfb/gxdt/</w:t>
      </w:r>
    </w:p>
    <w:p>
      <w:pPr>
        <w:ind w:left="240"/>
      </w:pPr>
      <w:r>
        <w:t>研究科技咨询工作，支撑产业科技创新。</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四部门联合印发《关于推动互联网基础资源高质量发展的指导意见》，标志着我国互联网治理从应用层向基础资源层纵深。该文件由工信部、中央网信办、发改委、国家数据局联合发布，层级高、跨部门协同特征明显，意图通过规范域名、IP地址等基础资源的管理与分配，为数字经济发展筑牢底座。下一步，预计将配套出台实施细则，强化对根服务器、顶级域名等战略资源的自主可控能力，并可能影响跨境数据流动的底层架构。</w:t>
      </w:r>
    </w:p>
    <w:p>
      <w:r>
        <w:rPr>
          <w:b/>
          <w:color w:val="5B6DE4"/>
        </w:rPr>
        <w:t xml:space="preserve">②  </w:t>
      </w:r>
      <w:r>
        <w:t>趋势2：普惠算力政策密集落地，从中央到地方形成“算力券+专项行动”组合拳。工信部4月启动普惠算力赋能中小企业专项行动，安徽、浙江等地紧随其后推出算力券申报，天津则发布三年实施方案。政策逻辑在于：大模型训练推高算力门槛，中小企业面临“用不起、用不好”困境，政府通过补贴和平台开放降低使用成本。研判：算力将成为类似“水电”的基础设施，未来可能纳入公共服务定价体系，但需警惕补贴依赖和资源浪费。</w:t>
      </w:r>
    </w:p>
    <w:p>
      <w:r>
        <w:rPr>
          <w:b/>
          <w:color w:val="5B6DE4"/>
        </w:rPr>
        <w:t xml:space="preserve">③  </w:t>
      </w:r>
      <w:r>
        <w:t>趋势3：人工智能治理从“专项规章”走向“法律+伦理”双轨并行。新修改的网络安全法已将AI纳入法律体系，深度合成、生成式AI等专项规章相继出台，2026世界人工智能大会更强调“善治促善智”。政策意图是平衡创新与安全，防止技术滥用。研判：随着AI应用渗透金融、医疗等关键领域，预计年内将出台更细化的分级分类监管指南，算法备案和伦理审查可能成为强制性要求。</w:t>
      </w:r>
    </w:p>
    <w:p>
      <w:r>
        <w:rPr>
          <w:b/>
          <w:color w:val="5B6DE4"/>
        </w:rPr>
        <w:t xml:space="preserve">④  </w:t>
      </w:r>
      <w:r>
        <w:t>趋势4：工业互联网政策重心从“平台建设”转向“场景化落地与实效评估”。工信部发布《推动工业互联网平台高质量发展行动方案（2026—2028年）》，同时推出场景化、图谱化转型指引，广西、福建等地跟进制定地方版工作指引。逻辑在于：前期平台数量已具规模，但应用深度不足，企业“不敢转、不会转”问题突出。下一步，政策将更强调标杆案例复制推广，并可能引入基于实际效益的考核指标。</w:t>
      </w:r>
    </w:p>
    <w:p>
      <w:r>
        <w:rPr>
          <w:b/>
          <w:color w:val="5B6DE4"/>
        </w:rPr>
        <w:t xml:space="preserve">⑤  </w:t>
      </w:r>
      <w:r>
        <w:t>趋势5：数据安全法规体系加速完善，政务数据共享与网络数据安全同步推进。2026年3月集中发布《网络数据安全管理条例》《政务数据共享条例》等多项法规，覆盖数据全生命周期。政策意图是打破“数据孤岛”的同时守住安全底线，为数据要素市场化铺路。研判：数据分类分级、跨境评估等配套细则将加速落地，政务数据共享可能率先在长三角、粤港澳等区域试点，但数据权属界定仍是难点。</w:t>
      </w:r>
    </w:p>
    <w:p>
      <w:r>
        <w:rPr>
          <w:b/>
          <w:color w:val="5B6DE4"/>
        </w:rPr>
        <w:t xml:space="preserve">⑥  </w:t>
      </w:r>
      <w:r>
        <w:t>趋势6（国际比较）：中国在AI治理上走“法律先行+国际合作”路径，与欧盟《AI法案》的“风险分级”模式趋同，但更强调国家主权与安全。美国则通过行政令推动行业自律，日本侧重产业促进与标准对接。中国在APEC数字周期间主动设置AI治理议题，意在争夺国际规则话语权。启示：中国可借鉴欧盟的执法经验（如罚款机制），同时吸收美国在沙盒监管上的灵活性，避免过度规制抑制创新。</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