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生成日期：2026-09-26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《关于对派拓公司在华销售产品启动网络安全审查的公告》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发文日期：2026-09-20</w:t>
        <w:br/>
        <w:t>原文链接：https://www.cac.gov.cn/wxzw/wlaq/A093705index_1.htm</w:t>
      </w:r>
    </w:p>
    <w:p>
      <w:pPr>
        <w:ind w:left="240"/>
      </w:pPr>
      <w:r>
        <w:t>对派拓网络在华销售产品启动网络安全审查，防范供应链安全风险。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《中方关于深化中国—东盟数字治理合作的倡议》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发文日期：2026-09-17</w:t>
        <w:br/>
        <w:t>原文链接：https://wap.cac.gov.cn/phoneindex.htm</w:t>
      </w:r>
    </w:p>
    <w:p>
      <w:pPr>
        <w:ind w:left="240"/>
      </w:pPr>
      <w:r>
        <w:t>提出深化中国与东盟在数字治理、数据跨境等领域的合作框架。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《中文互联网基础语料4.0等三类高质量数据集正式发布》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发文日期：2026-09-17</w:t>
        <w:br/>
        <w:t>原文链接：https://wap.cac.gov.cn/phoneindex.htm</w:t>
      </w:r>
    </w:p>
    <w:p>
      <w:pPr>
        <w:ind w:left="240"/>
      </w:pPr>
      <w:r>
        <w:t>发布中文互联网基础语料4.0等三类高质量数据集，支撑AI大模型训练。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《关于30款App个人信息收集使用问题的通报》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发文日期：2026-09-20</w:t>
        <w:br/>
        <w:t>原文链接：https://www.cac.gov.cn/wxzw/A0937index_1.htm</w:t>
      </w:r>
    </w:p>
    <w:p>
      <w:pPr>
        <w:ind w:left="240"/>
      </w:pPr>
      <w:r>
        <w:t>通报30款App违规收集使用个人信息问题，责令限期整改。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《国家网信办将在2026年APEC数字周期间举办系列活动》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发文日期：2026-09-17</w:t>
        <w:br/>
        <w:t>原文链接：https://wap.cac.gov.cn/phoneindex.htm</w:t>
      </w:r>
    </w:p>
    <w:p>
      <w:pPr>
        <w:ind w:left="240"/>
      </w:pPr>
      <w:r>
        <w:t>在APEC数字周期间举办系列活动，推动亚太数字治理合作。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《专家解读：以普惠包容数字合作弥合数智鸿沟》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发文日期：2026-09-17</w:t>
        <w:br/>
        <w:t>原文链接：https://wap.cac.gov.cn/phoneindex.htm</w:t>
      </w:r>
    </w:p>
    <w:p>
      <w:pPr>
        <w:ind w:left="240"/>
      </w:pPr>
      <w:r>
        <w:t>解读普惠包容数字合作理念，强调弥合全球数智鸿沟的中国方案。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《人工智能安全治理框架3.0》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发文日期：2026-09-09</w:t>
        <w:br/>
        <w:t>原文链接：https://www.cac.gov.cn/cms/pub/interact/downloadfile.jsp?filepath=ZBWvETi1XzcBKtOIkqelkFNfnsiqRz/RVoObc/v/uk8HfA7qN3VpXTSitEFyvFWXTzuPjjARmklnQb/fGcH5CjEjTcORl73kmCTdYOvdSjs=</w:t>
      </w:r>
    </w:p>
    <w:p>
      <w:pPr>
        <w:ind w:left="240"/>
      </w:pPr>
      <w:r>
        <w:t>升级AI安全治理框架，明确模型、算法、数据、算力全链条安全要求。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《人工智能+软件专项行动实施方案》</w:t>
      </w:r>
    </w:p>
    <w:p>
      <w:r>
        <w:rPr>
          <w:color w:val="646464"/>
          <w:sz w:val="20"/>
        </w:rPr>
        <w:t>文　　号：工信部信发〔2026〕209号</w:t>
        <w:br/>
        <w:t>发文机关：工业和信息化部</w:t>
        <w:br/>
        <w:t>发文日期：2026-09-02</w:t>
        <w:br/>
        <w:t>原文链接：https://www.miit.gov.cn/search/zcwjk.html?websiteid=110000000000000&amp;tpl=14&amp;category=183</w:t>
      </w:r>
    </w:p>
    <w:p>
      <w:pPr>
        <w:ind w:left="240"/>
      </w:pPr>
      <w:r>
        <w:t>推动人工智能与软件产业深度融合，部署AI+软件专项行动。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《智能网联新能源汽车产业发展十五五规划》</w:t>
      </w:r>
    </w:p>
    <w:p>
      <w:r>
        <w:rPr>
          <w:color w:val="646464"/>
          <w:sz w:val="20"/>
        </w:rPr>
        <w:t>文　　号：暂无</w:t>
        <w:br/>
        <w:t>发文机关：工业和信息化部等九部门</w:t>
        <w:br/>
        <w:t>发文日期：2026-09-11</w:t>
        <w:br/>
        <w:t>原文链接：https://www.miit.gov.cn/search/zcwjk.html?websiteid=110000000000000&amp;tpl=14&amp;category=183</w:t>
      </w:r>
    </w:p>
    <w:p>
      <w:pPr>
        <w:ind w:left="240"/>
      </w:pPr>
      <w:r>
        <w:t>九部门联合印发智能网联新能源汽车十五五规划，部署产业发展。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《关于加快推进人工智能+人社应用发展的实施意见》</w:t>
      </w:r>
    </w:p>
    <w:p>
      <w:r>
        <w:rPr>
          <w:color w:val="646464"/>
          <w:sz w:val="20"/>
        </w:rPr>
        <w:t>文　　号：暂无</w:t>
        <w:br/>
        <w:t>发文机关：人力资源和社会保障部</w:t>
        <w:br/>
        <w:t>发文日期：2026-09-10</w:t>
      </w:r>
    </w:p>
    <w:p>
      <w:pPr>
        <w:ind w:left="240"/>
      </w:pPr>
      <w:r>
        <w:t>推动人工智能在人社领域应用，提升公共服务智能化水平。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《数据出境安全管理政策法规问答（2026年9月）》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发文日期：2026-09-11</w:t>
        <w:br/>
        <w:t>原文链接：https://www.cac.gov.cn/wxzw/A0937index_1.htm</w:t>
      </w:r>
    </w:p>
    <w:p>
      <w:pPr>
        <w:ind w:left="240"/>
      </w:pPr>
      <w:r>
        <w:t>系统解读数据出境安全评估申报流程与合规要求。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《关于对派拓公司在华销售产品启动网络安全审查的公告》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发文日期：2026-09-20</w:t>
        <w:br/>
        <w:t>原文链接：https://www.cac.gov.cn/wxzw/wlaq/A093705index_1.htm</w:t>
      </w:r>
    </w:p>
    <w:p>
      <w:pPr>
        <w:ind w:left="240"/>
      </w:pPr>
      <w:r>
        <w:t>对派拓网络产品启动网络安全审查，强化关键信息基础设施供应链安全。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《2026国家网络安全宣传周奉贤地区活动暨数首发奉贤专场产品发布》</w:t>
      </w:r>
    </w:p>
    <w:p>
      <w:r>
        <w:rPr>
          <w:color w:val="646464"/>
          <w:sz w:val="20"/>
        </w:rPr>
        <w:t>文　　号：暂无</w:t>
        <w:br/>
        <w:t>发文机关：上海市委网信办</w:t>
        <w:br/>
        <w:t>发文日期：2026-09-08</w:t>
        <w:br/>
        <w:t>原文链接：https://jswx.gov.cn/csj/sh/</w:t>
      </w:r>
    </w:p>
    <w:p>
      <w:pPr>
        <w:ind w:left="240"/>
      </w:pPr>
      <w:r>
        <w:t>上海奉贤举办网络安全宣传周活动，发布数据要素相关首发产品。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《2026年国家网络安全宣传周将于9月14日至20日在全国范围举行》</w:t>
      </w:r>
    </w:p>
    <w:p>
      <w:r>
        <w:rPr>
          <w:color w:val="646464"/>
          <w:sz w:val="20"/>
        </w:rPr>
        <w:t>文　　号：暂无</w:t>
        <w:br/>
        <w:t>发文机关：中央宣传部、中央网信办等十部门</w:t>
        <w:br/>
        <w:t>发文日期：2026-09-01</w:t>
        <w:br/>
        <w:t>原文链接：http://jx.people.com.cn/n2/2026/0902/c186330-41684309.html</w:t>
      </w:r>
    </w:p>
    <w:p>
      <w:pPr>
        <w:ind w:left="240"/>
      </w:pPr>
      <w:r>
        <w:t>十部门联合举办网络安全宣传周，聚焦网络安全技术高峰论坛等活动。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网信办在9月密集发布人工智能安全治理框架3.0、数据出境安全管理问答，并对派拓网络启动网络安全审查，同时发布中文互联网基础语料4.0等高质量数据集。逻辑：这一系列动作表明监管层正在构建AI全链条治理体系——从训练数据供给（语料4.0）到模型安全（治理框架3.0）再到跨境数据流动合规，形成供给与安全并重的制度闭环。研判：预计年底前将出台配套的AI安全评估细则和语料数据流通标准，企业需提前建立AI合规内审机制，尤其是涉及跨境模型训练的企业面临更高合规门槛。</w:t>
      </w:r>
    </w:p>
    <w:p>
      <w:r>
        <w:rPr>
          <w:b/>
          <w:color w:val="5B6DE4"/>
        </w:rPr>
        <w:t xml:space="preserve">②  </w:t>
      </w:r>
      <w:r>
        <w:t>现象：工信部9月2日印发人工智能+软件专项行动实施方案（工信部信发〔2026〕209号），9月11日联合九部门发布智能网联新能源汽车十五五规划，人社部同步推进AI+人社应用。逻辑：政策重心正从AI技术研发转向行业深度应用，以部委联动方式推动AI在制造、交通、人社等垂直领域落地，体现AI+产业融合的顶层设计思路。研判：十五五期间各部委将陆续出台本领域AI+实施方案，形成1+N政策矩阵，但需警惕地方重复建设和算力资源错配问题，建议关注后续算力调度和行业标准统一方面的政策补位。</w:t>
      </w:r>
    </w:p>
    <w:p>
      <w:r>
        <w:rPr>
          <w:b/>
          <w:color w:val="5B6DE4"/>
        </w:rPr>
        <w:t xml:space="preserve">③  </w:t>
      </w:r>
      <w:r>
        <w:t>现象：国家网信办在APEC数字周期间举办系列活动，发布中方关于深化中国—东盟数字治理合作的倡议，并组织专家解读普惠包容数字合作弥合数智鸿沟。逻辑：面对美欧在AI治理规则上的主导态势，中国正通过APEC、东盟等多边平台输出数字治理中国方案，以发展中国家的数字鸿沟议题为切入点争取规则话语权。研判：预计2027年前中国将在RCEP框架下推动数据跨境流动白名单机制，与东盟国家的数字治理合作将从倡议层面进入制度落地阶段，企业可关注东南亚数据合规互认带来的市场机遇。</w:t>
      </w:r>
    </w:p>
    <w:p>
      <w:r>
        <w:rPr>
          <w:b/>
          <w:color w:val="5B6DE4"/>
        </w:rPr>
        <w:t xml:space="preserve">④  </w:t>
      </w:r>
      <w:r>
        <w:t>现象：上海市委网信办9月密集开展资本市场网络营商环境合规指导会、奉贤数首发产品发布等活动，天津持续推进算力产业发展实施方案。逻辑：地方层面正围绕数据要素市场化配置和算力产业展开差异化竞争，上海侧重金融数据合规与数据产品首发，天津依托京津冀协同定位打造算力高地，体现国家统筹+地方特色的数字经济发展格局。研判：预计四季度各省将密集出台数据要素市场化配套细则，地方数据交易所竞争加剧，需关注跨区域数据流通标准不统一带来的碎片化风险。</w:t>
      </w:r>
    </w:p>
    <w:p>
      <w:r>
        <w:rPr>
          <w:b/>
          <w:color w:val="5B6DE4"/>
        </w:rPr>
        <w:t xml:space="preserve">⑤  </w:t>
      </w:r>
      <w:r>
        <w:t>现象：中央网信办9月20日通报30款App个人信息收集使用问题，6月联合市场监管总局约谈7家火车票销售平台，2026年国家网络安全宣传周于9月14日至20日举办。逻辑：个人信息保护和平台经济数据合规执法进入常态化阶段，从专项通报到联合约谈再到年度宣传周，形成执法+教育双轨机制，释放持续收紧平台数据行为的信号。研判：下一步执法重点可能从App延伸至小程序、智能终端等新载体，平台企业应建立数据合规常态化自查机制，尤其关注算法推荐和用户画像的合规边界。</w:t>
      </w:r>
    </w:p>
    <w:p>
      <w:r>
        <w:rPr>
          <w:b/>
          <w:color w:val="5B6DE4"/>
        </w:rPr>
        <w:t xml:space="preserve">⑥  </w:t>
      </w:r>
      <w:r>
        <w:t>现象：欧盟AI法案2026年进入高风险系统合规强制执行阶段，EDPB持续推进GDPR与AI法案衔接；美国方面NIST AI风险管理框架更新，白宫围绕AI行政令调整监管口径；日本数字厅推进AI相关制度整备。对比中国：中国以人工智能安全治理框架3.0+生成式AI管理办法+数据出境规定构成软法先行、硬法兜底体系，与欧盟风险分级强制合规路径不同，更强调发展与安全平衡。研判：全球AI治理正形成欧盟重权利保护、美国重创新竞争、中国重安全发展平衡三种范式，中国企业出海需同时应对多套合规体系，建议优先建立覆盖EU AI Act高风险分类的合规映射工具。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