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生成日期：2026-08-26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《2026绿色算力（人工智能）大会在呼和浩特举行》</w:t>
      </w:r>
    </w:p>
    <w:p>
      <w:r>
        <w:rPr>
          <w:color w:val="646464"/>
          <w:sz w:val="20"/>
        </w:rPr>
        <w:t>文　　号：暂无</w:t>
        <w:br/>
        <w:t>发文机关：呼和浩特市人民政府</w:t>
        <w:br/>
        <w:t>发文日期：2026-08-22</w:t>
        <w:br/>
        <w:t>原文链接：https://www.wuchuan.gov.cn/jdhy_92/xwfbh/202608/t20260817_2029456.html</w:t>
      </w:r>
    </w:p>
    <w:p>
      <w:pPr>
        <w:ind w:left="240"/>
      </w:pPr>
      <w:r>
        <w:t>以算电协同、词元经济为主题，推动绿色算力与人工智能融合。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《2026绿色算力（人工智能）大会》</w:t>
      </w:r>
    </w:p>
    <w:p>
      <w:r>
        <w:rPr>
          <w:color w:val="646464"/>
          <w:sz w:val="20"/>
        </w:rPr>
        <w:t>文　　号：暂无</w:t>
        <w:br/>
        <w:t>发文机关：呼和浩特市人民政府</w:t>
        <w:br/>
        <w:t>发文日期：2026-08-22</w:t>
        <w:br/>
        <w:t>原文链接：https://www.wuchuan.gov.cn/jdhy_92/xwfbh/202608/t20260817_2029456.html</w:t>
      </w:r>
    </w:p>
    <w:p>
      <w:pPr>
        <w:ind w:left="240"/>
      </w:pPr>
      <w:r>
        <w:t>聚焦算电协同与词元经济，探讨绿色算力赋能AI发展路径。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《全国数据标准化技术委员会2026年第一次主任委员办公会》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发文日期：2026-08-10</w:t>
        <w:br/>
        <w:t>原文链接：https://www.ndrc.gov.cn</w:t>
      </w:r>
    </w:p>
    <w:p>
      <w:pPr>
        <w:ind w:left="240"/>
      </w:pPr>
      <w:r>
        <w:t>推进数据领域国家标准体系建设，部署下半年标准化工作。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《APEC数据与人工智能赋能产业发展专题研讨会》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发文日期：2026-07-29</w:t>
        <w:br/>
        <w:t>原文链接：https://www.ndrc.gov.cn</w:t>
      </w:r>
    </w:p>
    <w:p>
      <w:pPr>
        <w:ind w:left="240"/>
      </w:pPr>
      <w:r>
        <w:t>围绕数据与AI赋能产业开展国际研讨，推动亚太数字经济合作。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发文日期：2026-07-15</w:t>
        <w:br/>
        <w:t>原文链接：https://www.cac.gov.cn</w:t>
      </w:r>
    </w:p>
    <w:p>
      <w:pPr>
        <w:ind w:left="240"/>
      </w:pPr>
      <w:r>
        <w:t>公布2026年5-6月生成式AI服务备案信息，落实常态化监管。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《工业绿色低碳发展“十五五”规划》</w:t>
      </w:r>
    </w:p>
    <w:p>
      <w:r>
        <w:rPr>
          <w:color w:val="646464"/>
          <w:sz w:val="20"/>
        </w:rPr>
        <w:t>文　　号：工信部规〔2026〕169号</w:t>
        <w:br/>
        <w:t>发文机关：工业和信息化部</w:t>
        <w:br/>
        <w:t>发文日期：2026-07-15</w:t>
        <w:br/>
        <w:t>原文链接：https://www.miit.gov.cn</w:t>
      </w:r>
    </w:p>
    <w:p>
      <w:pPr>
        <w:ind w:left="240"/>
      </w:pPr>
      <w:r>
        <w:t>规划“十五五”工业绿色低碳发展路径，推动数字化绿色化协同。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《关于印发《实施网络安全标识的产品目录（第一批）》及相关实施规则的通知》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发文日期：2026-07-06</w:t>
        <w:br/>
        <w:t>原文链接：https://www.cac.gov.cn</w:t>
      </w:r>
    </w:p>
    <w:p>
      <w:pPr>
        <w:ind w:left="240"/>
      </w:pPr>
      <w:r>
        <w:t>发布首批网络安全标识产品目录及实施规则，健全网络标识体系。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发文机关：国家互联网信息办公室等三部门</w:t>
        <w:br/>
        <w:t>发文日期：2026-06-18</w:t>
        <w:br/>
        <w:t>原文链接：https://www.cac.gov.cn</w:t>
      </w:r>
    </w:p>
    <w:p>
      <w:pPr>
        <w:ind w:left="240"/>
      </w:pPr>
      <w:r>
        <w:t>规范网络数据安全风险评估机制，明确评估流程与要求。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规范汽车数据出境活动，提升数据出境便利化与安全水平。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《关于提升境外人员入境数字化服务便利性的实施意见》</w:t>
      </w:r>
    </w:p>
    <w:p>
      <w:r>
        <w:rPr>
          <w:color w:val="646464"/>
          <w:sz w:val="20"/>
        </w:rPr>
        <w:t>文　　号：暂无</w:t>
        <w:br/>
        <w:t>发文机关：国家互联网信息办公室等11部门</w:t>
        <w:br/>
        <w:t>发文日期：2026-02-05</w:t>
        <w:br/>
        <w:t>原文链接：https://www.deheheng.com/zhCN/dynamic/news/2065317352349757451</w:t>
      </w:r>
    </w:p>
    <w:p>
      <w:pPr>
        <w:ind w:left="240"/>
      </w:pPr>
      <w:r>
        <w:t>提升境外人员入境数字化服务体验，优化跨境数字服务环境。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《2026年上半年工业和信息化发展情况发布会》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发文日期：2026-07-20</w:t>
        <w:br/>
        <w:t>原文链接：https://www.scio.gov.cn</w:t>
      </w:r>
    </w:p>
    <w:p>
      <w:pPr>
        <w:ind w:left="240"/>
      </w:pPr>
      <w:r>
        <w:t>介绍上半年工信领域发展情况，涵盖信息通信、数字经济等。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于8月21日发布《促进网信企业高质量发展行动计划（2026-2030年）》，首次以五年专项规划形式对网信企业群体进行系统性政策供给。逻辑：该文件将企业作为网络强国建设的核心载体，意图通过政策集成解决网信企业融资、人才、市场准入等结构性痛点，改变过去重监管轻发展的政策惯性。研判：后续或将配套出台税收优惠、政府采购倾斜等实施细则，网信企业上市融资通道有望进一步拓宽，但需关注政策落地中的所有制歧视风险。</w:t>
      </w:r>
    </w:p>
    <w:p>
      <w:r>
        <w:rPr>
          <w:b/>
          <w:color w:val="5B6DE4"/>
        </w:rPr>
        <w:t xml:space="preserve">②  </w:t>
      </w:r>
      <w:r>
        <w:t>现象：2026绿色算力大会于8月22日在呼和浩特召开，主题聚焦“算电协同”与“词元经济”。逻辑：在“双碳”约束与AI算力需求爆发双重压力下，绿电与算力融合成为算力基础设施建设的必然选择，内蒙古凭借风光资源禀赋正从“东数西算”节点向绿色算力产业高地升级。研判：绿电交易与算力调度联动机制将加速建立，西部算力枢纽的绿电直供模式可能成为全国样板，但需警惕算力过剩与绿电消纳的匹配失衡。</w:t>
      </w:r>
    </w:p>
    <w:p>
      <w:r>
        <w:rPr>
          <w:b/>
          <w:color w:val="5B6DE4"/>
        </w:rPr>
        <w:t xml:space="preserve">③  </w:t>
      </w:r>
      <w:r>
        <w:t>现象：国家数据局8月10日召开数据标准化技术委员会主任委员办公会，推进数据领域国标体系建设。逻辑：数据要素市场化配置亟需统一的标准底座，当前数据产权、交易、流通等环节标准缺失严重制约要素价值释放，标准化工作已从顶层设计进入实质性推进阶段。研判：数据要素登记、估值定价等核心标准有望年内出台，将直接利好数据交易所和数据服务商，但标准制定中的部门协调与利益平衡仍是难点。</w:t>
      </w:r>
    </w:p>
    <w:p>
      <w:r>
        <w:rPr>
          <w:b/>
          <w:color w:val="5B6DE4"/>
        </w:rPr>
        <w:t xml:space="preserve">④  </w:t>
      </w:r>
      <w:r>
        <w:t>现象：工信部7月15日印发《工业绿色低碳发展“十五五”规划》，将数字化绿色化协同作为重要方向。逻辑：工业领域数字化转型与绿色低碳转型正在从并行走向融合，数字技术对能耗监测、碳足迹追踪的赋能作用得到政策层确认，双化协同成为新型工业化的核心路径。研判：工业互联网平台将加速集成碳管理功能，重点行业碳效码、绿码等数字化管理工具将加快推广，相关软件与服务市场空间广阔。</w:t>
      </w:r>
    </w:p>
    <w:p>
      <w:r>
        <w:rPr>
          <w:b/>
          <w:color w:val="5B6DE4"/>
        </w:rPr>
        <w:t xml:space="preserve">⑤  </w:t>
      </w:r>
      <w:r>
        <w:t>现象：国家网信办7月6日发布《实施网络安全标识的产品目录（第一批）》，网络安全标识制度进入落地阶段。逻辑：网络安全产品市场鱼龙混杂，标识制度旨在建立质量信任传递机制，通过目录管理引导用户采购合规产品，同时倒逼厂商提升产品安全能力。研判：标识制度将与等保测评、商用密码检测形成互补，网络安全产品市场将加速洗牌，具备检测认证能力的第三方机构迎来发展机遇。</w:t>
      </w:r>
    </w:p>
    <w:p>
      <w:r>
        <w:rPr>
          <w:b/>
          <w:color w:val="5B6DE4"/>
        </w:rPr>
        <w:t xml:space="preserve">⑥  </w:t>
      </w:r>
      <w:r>
        <w:t>现象：国际比较：中国通过《促进网信企业高质量发展行动计划》强化产业扶持，日本数字厅持续推进“全世代型社会保障”数字化改革，欧盟则依据《人工智能法案》对高风险AI系统实施严格合规审查。逻辑：三方路径差异显著——中国侧重产业培育与安全监管并重，日本聚焦公共服务数字化应用，欧盟强调风险分级治理。研判：中国模式在产业规模扩张上更具效率，但需关注合规成本与创新活力的平衡；欧盟模式虽推高合规成本，但有利于建立全球规则话语权；日本模式在应用落地与民生改善上见效快，但产业带动力有限。三方在AI安全评估、数据跨境流动等领域的标准互认将成为下一阶段国际治理博弈焦点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