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生成日期：2026-09-10　　数据 · 算力 · 信息化</w:t>
      </w:r>
    </w:p>
    <w:p/>
    <w:p>
      <w:pPr>
        <w:pStyle w:val="Heading1"/>
      </w:pPr>
      <w:r>
        <w:rPr>
          <w:color w:val="5B6DE4"/>
          <w:sz w:val="28"/>
        </w:rPr>
        <w:t>一、过去 24 小时关键政策</w:t>
      </w:r>
    </w:p>
    <w:p>
      <w:r>
        <w:rPr>
          <w:b/>
          <w:sz w:val="24"/>
        </w:rPr>
        <w:t>《工业和信息化领域绿色能源...》</w:t>
      </w:r>
    </w:p>
    <w:p>
      <w:r>
        <w:rPr>
          <w:color w:val="646464"/>
          <w:sz w:val="20"/>
        </w:rPr>
        <w:t>文　　号：暂无</w:t>
        <w:br/>
        <w:t>发文机关：工业和信息化部</w:t>
        <w:br/>
        <w:t>发文日期：2026-09-04</w:t>
        <w:br/>
        <w:t>原文链接：https://www.miit.gov.cn/xwfb/gxdt/sjdt/index.html</w:t>
      </w:r>
    </w:p>
    <w:p>
      <w:pPr>
        <w:ind w:left="240"/>
      </w:pPr>
      <w:r>
        <w:t>推动工业和信息化领域绿色能源发展与应用。</w:t>
      </w:r>
    </w:p>
    <w:p>
      <w:pPr>
        <w:spacing w:before="0" w:after="80"/>
        <w:pBdr>
          <w:bottom w:val="single" w:sz="4" w:space="1" w:color="DDDDDD"/>
        </w:pBdr>
      </w:pPr>
    </w:p>
    <w:p/>
    <w:p>
      <w:pPr>
        <w:pStyle w:val="Heading1"/>
      </w:pPr>
      <w:r>
        <w:rPr>
          <w:color w:val="5B6DE4"/>
          <w:sz w:val="28"/>
        </w:rPr>
        <w:t>二、过去一个月主要政策动向</w:t>
      </w:r>
    </w:p>
    <w:p>
      <w:r>
        <w:rPr>
          <w:b/>
          <w:sz w:val="24"/>
        </w:rPr>
        <w:t>《小型个人信息处理者个人信息保护简化措施规定》</w:t>
      </w:r>
    </w:p>
    <w:p>
      <w:r>
        <w:rPr>
          <w:color w:val="646464"/>
          <w:sz w:val="20"/>
        </w:rPr>
        <w:t>文　　号：暂无</w:t>
        <w:br/>
        <w:t>发文机关：国家互联网信息办公室、公安部</w:t>
        <w:br/>
        <w:t>发文日期：2026-07-24</w:t>
        <w:br/>
        <w:t>原文链接：https://www.cac.gov.cn/wxzw/wxfb/A093702index_1.htm</w:t>
      </w:r>
    </w:p>
    <w:p>
      <w:pPr>
        <w:ind w:left="240"/>
      </w:pPr>
      <w:r>
        <w:t>为小型处理者降低合规成本，明确简化保护措施。</w:t>
      </w:r>
    </w:p>
    <w:p>
      <w:pPr>
        <w:spacing w:before="0" w:after="80"/>
        <w:pBdr>
          <w:bottom w:val="single" w:sz="4" w:space="1" w:color="DDDDDD"/>
        </w:pBdr>
      </w:pPr>
    </w:p>
    <w:p>
      <w:r>
        <w:rPr>
          <w:b/>
          <w:sz w:val="24"/>
        </w:rPr>
        <w:t>《国家信息化发展报告(2025年)》</w:t>
      </w:r>
    </w:p>
    <w:p>
      <w:r>
        <w:rPr>
          <w:color w:val="646464"/>
          <w:sz w:val="20"/>
        </w:rPr>
        <w:t>文　　号：暂无</w:t>
        <w:br/>
        <w:t>发文机关：国家互联网信息办公室</w:t>
        <w:br/>
        <w:t>发文日期：2026-08-07</w:t>
        <w:br/>
        <w:t>原文链接：https://www.cac.gov.cn/wxzw/wxfb/A093702index_1.htm</w:t>
      </w:r>
    </w:p>
    <w:p>
      <w:pPr>
        <w:ind w:left="240"/>
      </w:pPr>
      <w:r>
        <w:t>总结2025年国家信息化发展成效与最新进展。</w:t>
      </w:r>
    </w:p>
    <w:p>
      <w:pPr>
        <w:spacing w:before="0" w:after="80"/>
        <w:pBdr>
          <w:bottom w:val="single" w:sz="4" w:space="1" w:color="DDDDDD"/>
        </w:pBdr>
      </w:pPr>
    </w:p>
    <w:p>
      <w:r>
        <w:rPr>
          <w:b/>
          <w:sz w:val="24"/>
        </w:rPr>
        <w:t>《深化互联网协议第六版(IPv6)技术创新和融合应用实施方案(2026—2030年)》</w:t>
      </w:r>
    </w:p>
    <w:p>
      <w:r>
        <w:rPr>
          <w:color w:val="646464"/>
          <w:sz w:val="20"/>
        </w:rPr>
        <w:t>文　　号：暂无</w:t>
        <w:br/>
        <w:t>发文机关：国家互联网信息办公室</w:t>
        <w:br/>
        <w:t>发文日期：2026-07-21</w:t>
        <w:br/>
        <w:t>原文链接：https://www.cac.gov.cn/wxzw/wxfb/A093702index_1.htm</w:t>
      </w:r>
    </w:p>
    <w:p>
      <w:pPr>
        <w:ind w:left="240"/>
      </w:pPr>
      <w:r>
        <w:t>部署IPv6技术创新与融合应用，深化网络基础设施升级。</w:t>
      </w:r>
    </w:p>
    <w:p>
      <w:pPr>
        <w:spacing w:before="0" w:after="80"/>
        <w:pBdr>
          <w:bottom w:val="single" w:sz="4" w:space="1" w:color="DDDDDD"/>
        </w:pBdr>
      </w:pPr>
    </w:p>
    <w:p>
      <w:r>
        <w:rPr>
          <w:b/>
          <w:sz w:val="24"/>
        </w:rPr>
        <w:t>《数据基础设施 智能体交互技术要求等9项技术文件征求意见》</w:t>
      </w:r>
    </w:p>
    <w:p>
      <w:r>
        <w:rPr>
          <w:color w:val="646464"/>
          <w:sz w:val="20"/>
        </w:rPr>
        <w:t>文　　号：暂无</w:t>
        <w:br/>
        <w:t>发文机关：全国数据标准化技术委员会</w:t>
        <w:br/>
        <w:t>发文日期：2026-08-01</w:t>
      </w:r>
    </w:p>
    <w:p>
      <w:pPr>
        <w:ind w:left="240"/>
      </w:pPr>
      <w:r>
        <w:t>就智能体交互等9项技术文件公开征求意见，完善数据标准体系。</w:t>
      </w:r>
    </w:p>
    <w:p>
      <w:pPr>
        <w:spacing w:before="0" w:after="80"/>
        <w:pBdr>
          <w:bottom w:val="single" w:sz="4" w:space="1" w:color="DDDDDD"/>
        </w:pBdr>
      </w:pPr>
    </w:p>
    <w:p>
      <w:r>
        <w:rPr>
          <w:b/>
          <w:sz w:val="24"/>
        </w:rPr>
        <w:t>《个人信息保护政策法规问答(2026年8月)》</w:t>
      </w:r>
    </w:p>
    <w:p>
      <w:r>
        <w:rPr>
          <w:color w:val="646464"/>
          <w:sz w:val="20"/>
        </w:rPr>
        <w:t>文　　号：暂无</w:t>
        <w:br/>
        <w:t>发文机关：国家互联网信息办公室</w:t>
        <w:br/>
        <w:t>发文日期：2026-08-01</w:t>
      </w:r>
    </w:p>
    <w:p>
      <w:pPr>
        <w:ind w:left="240"/>
      </w:pPr>
      <w:r>
        <w:t>发布个保法配套问答，指导企业合规实践。</w:t>
      </w:r>
    </w:p>
    <w:p>
      <w:pPr>
        <w:spacing w:before="0" w:after="80"/>
        <w:pBdr>
          <w:bottom w:val="single" w:sz="4" w:space="1" w:color="DDDDDD"/>
        </w:pBdr>
      </w:pPr>
    </w:p>
    <w:p/>
    <w:p>
      <w:pPr>
        <w:pStyle w:val="Heading1"/>
      </w:pPr>
      <w:r>
        <w:rPr>
          <w:color w:val="5B6DE4"/>
          <w:sz w:val="28"/>
        </w:rPr>
        <w:t>三、今年以来主要政策</w:t>
      </w:r>
    </w:p>
    <w:p>
      <w:r>
        <w:rPr>
          <w:b/>
          <w:sz w:val="24"/>
        </w:rPr>
        <w:t>《数据出境安全管理政策法规问答(2026年7月)》</w:t>
      </w:r>
    </w:p>
    <w:p>
      <w:r>
        <w:rPr>
          <w:color w:val="646464"/>
          <w:sz w:val="20"/>
        </w:rPr>
        <w:t>文　　号：暂无</w:t>
        <w:br/>
        <w:t>发文机关：广东省互联网信息办公室</w:t>
        <w:br/>
        <w:t>发文日期：2026-07-24</w:t>
        <w:br/>
        <w:t>原文链接：https://cagd.gov.cn/c/a/12/1.html</w:t>
      </w:r>
    </w:p>
    <w:p>
      <w:pPr>
        <w:ind w:left="240"/>
      </w:pPr>
      <w:r>
        <w:t>解答数据出境安全评估、标准合同等合规问题。</w:t>
      </w:r>
    </w:p>
    <w:p>
      <w:pPr>
        <w:spacing w:before="0" w:after="80"/>
        <w:pBdr>
          <w:bottom w:val="single" w:sz="4" w:space="1" w:color="DDDDDD"/>
        </w:pBdr>
      </w:pPr>
    </w:p>
    <w:p>
      <w:r>
        <w:rPr>
          <w:b/>
          <w:sz w:val="24"/>
        </w:rPr>
        <w:t>《全球AI治理新闻No.42》</w:t>
      </w:r>
    </w:p>
    <w:p>
      <w:r>
        <w:rPr>
          <w:color w:val="646464"/>
          <w:sz w:val="20"/>
        </w:rPr>
        <w:t>文　　号：暂无</w:t>
        <w:br/>
        <w:t>发文机关：其他</w:t>
        <w:br/>
        <w:t>发文日期：2026-08-24</w:t>
      </w:r>
    </w:p>
    <w:p>
      <w:pPr>
        <w:ind w:left="240"/>
      </w:pPr>
      <w:r>
        <w:t>汇总2026年8月17日至24日全球AI治理动态。</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网信企业高质量发展行动计划（2026-2030年）的出台，标志着我国对平台经济的治理从专项整改转向长效制度建设。该计划由中央网信委印发，规格高、周期长，旨在通过培育优质网信企业来增强产业国际竞争力。其逻辑在于，在数据安全、反垄断等基础性规则确立后，政策重心正逐步向促发展转移，通过引导企业合规经营、鼓励技术创新，实现规范与发展并重。研判未来，配套的税收优惠、融资支持、市场准入等细化措施有望陆续出台，网信企业将迎来一轮整合与升级，但如何在鼓励创新与防范资本无序扩张间保持平衡，仍是政策执行的关键考验。</w:t>
      </w:r>
    </w:p>
    <w:p>
      <w:r>
        <w:rPr>
          <w:b/>
          <w:color w:val="5B6DE4"/>
        </w:rPr>
        <w:t xml:space="preserve">②  </w:t>
      </w:r>
      <w:r>
        <w:t>趋势2：小型个人信息处理者个人信息保护简化措施规定的施行，体现了监管的精准化和差异化。该规定于9月1日起正式实施，针对中小微企业合规能力弱的现实，在坚守个保法底线的前提下，简化了告知同意、跨境提供等部分义务。其制度逻辑是在个人信息保护与优化营商环境之间寻求最优解，避免'一刀切'执法对中小市场主体造成过重负担。这一举措预示着未来数据合规监管将更加注重主体分级分类。研判认为，配套的合规指引和典型案例将陆续发布，以帮助小型处理者理解并适用新规，同时监管机构也可能加强对大型平台利用数据优势挤压中小企业行为的审查，以维护公平竞争。</w:t>
      </w:r>
    </w:p>
    <w:p>
      <w:r>
        <w:rPr>
          <w:b/>
          <w:color w:val="5B6DE4"/>
        </w:rPr>
        <w:t xml:space="preserve">③  </w:t>
      </w:r>
      <w:r>
        <w:t>趋势3：国家信息化发展报告的发布与IPv6技术创新实施方案的推进，显示出数字基础设施建设正从'建好'向'用好'转变。报告系统梳理了2025年信息化成效，而IPv6方案则聚焦于技术融合应用，旨在解决早期部署中'有路无车'的应用瓶颈。其背后的逻辑是，作为数字经济的底座，网络的性能和安全直接关系到上层数据要素流通、人工智能应用的水平。政策意图在于通过深化IPv6规模部署，提升网络性能与安全韧性，为工业互联网、车联网等新场景提供支撑。研判下一步，将看到更多针对IPv6单栈运行、应用改造的鼓励政策，以及与之相关的网络安全技术标准加速出台，推动网络强国的根基更加稳固。</w:t>
      </w:r>
    </w:p>
    <w:p>
      <w:r>
        <w:rPr>
          <w:b/>
          <w:color w:val="5B6DE4"/>
        </w:rPr>
        <w:t xml:space="preserve">④  </w:t>
      </w:r>
      <w:r>
        <w:t>趋势4：从近期工信部关于电动自行车充电桩、汽车生产一致性等领域的监管动作来看，数字化、智能化监管手段正在加速渗透至传统制造业和民生领域。这些检查与标准发布并非孤立事件，而是'新质生产力'在监管端的体现。其逻辑在于，随着5G、AIoT技术的普及，海量设备联网，传统的抽样检查已无法满足安全监管需求，必须利用大数据、人工智能进行全链条、实时性的风险监测。这反映出政策制定者正试图将数字治理能力转化为对实体产品质量和安全的保障能力。研判未来，针对智能网联汽车、智能家居等新兴领域的强制性国家标准将加快制定，并可能引入基于区块链的溯源机制，以提升监管的透明度和公信力。</w:t>
      </w:r>
    </w:p>
    <w:p>
      <w:r>
        <w:rPr>
          <w:b/>
          <w:color w:val="5B6DE4"/>
        </w:rPr>
        <w:t xml:space="preserve">⑤  </w:t>
      </w:r>
      <w:r>
        <w:t>趋势5：数据跨境流动监管框架正加速从原则性规定走向实操指引。近期，国家层面发布了个人信息保护政策法规问答，广东等地方网信办也发布了数据出境安全管理政策法规问答，这标志着监管机构开始集中回应企业在数据出境实践中的具体困惑。其逻辑在于，数据跨境是数字贸易的关键环节，规则不清会直接阻碍跨国企业的正常运营和国际合作。通过问答形式进行解释，既维护了国家数据安全，又为企业提供了明确的行动预期，是一种柔性的规则细化方式。研判认为，随着《数据出境安全评估办法》等法规的深入实施，针对特定行业（如汽车、金融）或特定场景（如跨境电商）的数据出境负面清单或正面清单有望推出，以进一步降低企业合规成本，促进数据要素的国际流动。</w:t>
      </w:r>
    </w:p>
    <w:p>
      <w:r>
        <w:rPr>
          <w:b/>
          <w:color w:val="5B6DE4"/>
        </w:rPr>
        <w:t xml:space="preserve">⑥  </w:t>
      </w:r>
      <w:r>
        <w:t>趋势6（国际比较）：中国在数据治理与AI监管路径上，正与欧盟、美国形成三种差异化模式。欧盟侧重基于风险的横向立法（AI Act），强调人权保护；美国则偏向行业自律与行政命令引导，鼓励创新；而中国近期动作，如网信企业高质量发展计划与小型处理者简化规定，显示出'促发展'与'保安全'并重的实用主义倾向。与欧盟AI法案的严格横向监管不同，中国更倾向于通过专项行动和标准制定进行纵向治理，如针对特定技术（IPv6）或主体（小型处理者）出台政策。与美国的行业自律相比，中国的监管框架更具强制性和系统性。研判未来，这种模式差异将导致技术标准与市场准入的分化，企业需构建合规'多版本'能力以适应不同法域要求，而中国模式在推动数字基建和产业应用方面可能展现出更高的效率。</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