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生成日期：2026-09-15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《关于加快公共数据资源开发利用的意见》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发文日期：2026-09-01</w:t>
      </w:r>
    </w:p>
    <w:p>
      <w:pPr>
        <w:ind w:left="240"/>
      </w:pPr>
      <w:r>
        <w:t>扩大公共数据授权运营试点，推动数据资源高效流通利用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《上海市促进人工智能产业发展条例实施细则》</w:t>
      </w:r>
    </w:p>
    <w:p>
      <w:r>
        <w:rPr>
          <w:color w:val="646464"/>
          <w:sz w:val="20"/>
        </w:rPr>
        <w:t>文　　号：暂无</w:t>
        <w:br/>
        <w:t>发文机关：上海市经济和信息化委员会</w:t>
        <w:br/>
        <w:t>发文日期：2026-09-05</w:t>
      </w:r>
    </w:p>
    <w:p>
      <w:pPr>
        <w:ind w:left="240"/>
      </w:pPr>
      <w:r>
        <w:t>细化大模型备案、算力补贴与语料开放等落地措施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《广东省数据要素市场化配置改革行动方案（2026年修订）》</w:t>
      </w:r>
    </w:p>
    <w:p>
      <w:r>
        <w:rPr>
          <w:color w:val="646464"/>
          <w:sz w:val="20"/>
        </w:rPr>
        <w:t>文　　号：暂无</w:t>
        <w:br/>
        <w:t>发文机关：广东省政务服务和数据管理局</w:t>
        <w:br/>
        <w:t>发文日期：2026-09-08</w:t>
      </w:r>
    </w:p>
    <w:p>
      <w:pPr>
        <w:ind w:left="240"/>
      </w:pPr>
      <w:r>
        <w:t>完善数据交易规则，扩大数据经纪人试点范围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《浙江省公共数据授权运营管理办法》</w:t>
      </w:r>
    </w:p>
    <w:p>
      <w:r>
        <w:rPr>
          <w:color w:val="646464"/>
          <w:sz w:val="20"/>
        </w:rPr>
        <w:t>文　　号：暂无</w:t>
        <w:br/>
        <w:t>发文机关：浙江省数据局</w:t>
        <w:br/>
        <w:t>发文日期：2026-09-10</w:t>
      </w:r>
    </w:p>
    <w:p>
      <w:pPr>
        <w:ind w:left="240"/>
      </w:pPr>
      <w:r>
        <w:t>规范授权运营流程，明确收益分配与安全责任机制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《江苏省算力基础设施高质量发展行动方案》</w:t>
      </w:r>
    </w:p>
    <w:p>
      <w:r>
        <w:rPr>
          <w:color w:val="646464"/>
          <w:sz w:val="20"/>
        </w:rPr>
        <w:t>文　　号：暂无</w:t>
        <w:br/>
        <w:t>发文机关：江苏省工业和信息化厅</w:t>
        <w:br/>
        <w:t>发文日期：2026-09-12</w:t>
      </w:r>
    </w:p>
    <w:p>
      <w:pPr>
        <w:ind w:left="240"/>
      </w:pPr>
      <w:r>
        <w:t>统筹智算中心布局，提出2028年算力规模翻番目标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《辽宁省数字政府建设三年行动计划（2026-2028年）》</w:t>
      </w:r>
    </w:p>
    <w:p>
      <w:r>
        <w:rPr>
          <w:color w:val="646464"/>
          <w:sz w:val="20"/>
        </w:rPr>
        <w:t>文　　号：暂无</w:t>
        <w:br/>
        <w:t>发文机关：辽宁省人民政府</w:t>
        <w:br/>
        <w:t>发文日期：2026-09-13</w:t>
      </w:r>
    </w:p>
    <w:p>
      <w:pPr>
        <w:ind w:left="240"/>
      </w:pPr>
      <w:r>
        <w:t>推进政务数据共享与“一网通办”，明确年度考核指标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《关于促进数据产业高质量发展的指导意见》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发文日期：2026-08-20</w:t>
      </w:r>
    </w:p>
    <w:p>
      <w:pPr>
        <w:ind w:left="240"/>
      </w:pPr>
      <w:r>
        <w:t>提出培育数据商和第三方服务机构，壮大数据产业生态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《生成式人工智能服务安全基本要求（修订版）》</w:t>
      </w:r>
    </w:p>
    <w:p>
      <w:r>
        <w:rPr>
          <w:color w:val="646464"/>
          <w:sz w:val="20"/>
        </w:rPr>
        <w:t>文　　号：TC260-003</w:t>
        <w:br/>
        <w:t>发文机关：全国网络安全标准化技术委员会</w:t>
        <w:br/>
        <w:t>发文日期：2026-08-25</w:t>
      </w:r>
    </w:p>
    <w:p>
      <w:pPr>
        <w:ind w:left="240"/>
      </w:pPr>
      <w:r>
        <w:t>更新语料安全、模型安全与输出安全评估要求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《关于推动工业互联网与人工智能融合发展的通知》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发文日期：2026-08-28</w:t>
      </w:r>
    </w:p>
    <w:p>
      <w:pPr>
        <w:ind w:left="240"/>
      </w:pPr>
      <w:r>
        <w:t>推动AI大模型在工业场景落地，建设融合应用先导区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《数据出境安全评估申报指南（第三版）》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发文日期：2026-09-02</w:t>
      </w:r>
    </w:p>
    <w:p>
      <w:pPr>
        <w:ind w:left="240"/>
      </w:pPr>
      <w:r>
        <w:t>优化申报流程，明确自贸区负面清单衔接规则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《北京市加快建设信息软件业新质生产力行动方案》</w:t>
      </w:r>
    </w:p>
    <w:p>
      <w:r>
        <w:rPr>
          <w:color w:val="646464"/>
          <w:sz w:val="20"/>
        </w:rPr>
        <w:t>文　　号：暂无</w:t>
        <w:br/>
        <w:t>发文机关：北京市经济和信息化局</w:t>
        <w:br/>
        <w:t>发文日期：2026-08-22</w:t>
      </w:r>
    </w:p>
    <w:p>
      <w:pPr>
        <w:ind w:left="240"/>
      </w:pPr>
      <w:r>
        <w:t>聚焦AI软件、算力调度与开源生态，提出税收优惠措施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《深圳市数据交易合规管理指引》</w:t>
      </w:r>
    </w:p>
    <w:p>
      <w:r>
        <w:rPr>
          <w:color w:val="646464"/>
          <w:sz w:val="20"/>
        </w:rPr>
        <w:t>文　　号：暂无</w:t>
        <w:br/>
        <w:t>发文机关：深圳市数据交易所</w:t>
        <w:br/>
        <w:t>发文日期：2026-09-03</w:t>
      </w:r>
    </w:p>
    <w:p>
      <w:pPr>
        <w:ind w:left="240"/>
      </w:pPr>
      <w:r>
        <w:t>明确数据交易标的合规审查与跨境交易操作规范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《关于加快数字政府2.0建设的实施意见》</w:t>
      </w:r>
    </w:p>
    <w:p>
      <w:r>
        <w:rPr>
          <w:color w:val="646464"/>
          <w:sz w:val="20"/>
        </w:rPr>
        <w:t>文　　号：暂无</w:t>
        <w:br/>
        <w:t>发文机关：国务院办公厅</w:t>
        <w:br/>
        <w:t>发文日期：2026-08-18</w:t>
      </w:r>
    </w:p>
    <w:p>
      <w:pPr>
        <w:ind w:left="240"/>
      </w:pPr>
      <w:r>
        <w:t>推动政务服务从“能用”向“好用”升级，强化AI赋能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《日本AI推进法实施细则》</w:t>
      </w:r>
    </w:p>
    <w:p>
      <w:r>
        <w:rPr>
          <w:color w:val="646464"/>
          <w:sz w:val="20"/>
        </w:rPr>
        <w:t>文　　号：暂无</w:t>
        <w:br/>
        <w:t>发文机关：日本デジタル庁</w:t>
        <w:br/>
        <w:t>发文日期：2026-08-30</w:t>
      </w:r>
    </w:p>
    <w:p>
      <w:pPr>
        <w:ind w:left="240"/>
      </w:pPr>
      <w:r>
        <w:t>明确AI研发促进与风险分级管理框架，设立评估机制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《欧盟AI法案通用人工智能行为准则》</w:t>
      </w:r>
    </w:p>
    <w:p>
      <w:r>
        <w:rPr>
          <w:color w:val="646464"/>
          <w:sz w:val="20"/>
        </w:rPr>
        <w:t>文　　号：暂无</w:t>
        <w:br/>
        <w:t>发文机关：欧盟委员会</w:t>
        <w:br/>
        <w:t>发文日期：2026-09-01</w:t>
      </w:r>
    </w:p>
    <w:p>
      <w:pPr>
        <w:ind w:left="240"/>
      </w:pPr>
      <w:r>
        <w:t>针对GPAI模型提出透明度、版权与系统性风险义务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《美国NIST人工智能风险管理框架更新版》</w:t>
      </w:r>
    </w:p>
    <w:p>
      <w:r>
        <w:rPr>
          <w:color w:val="646464"/>
          <w:sz w:val="20"/>
        </w:rPr>
        <w:t>文　　号：NIST AI 600-1</w:t>
        <w:br/>
        <w:t>发文机关：美国国家标准与技术研究院</w:t>
        <w:br/>
        <w:t>发文日期：2026-08-19</w:t>
      </w:r>
    </w:p>
    <w:p>
      <w:pPr>
        <w:ind w:left="240"/>
      </w:pPr>
      <w:r>
        <w:t>新增生成式AI专项风险图谱与测试评估指南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《关于深入实施“人工智能+”行动的意见》</w:t>
      </w:r>
    </w:p>
    <w:p>
      <w:r>
        <w:rPr>
          <w:color w:val="646464"/>
          <w:sz w:val="20"/>
        </w:rPr>
        <w:t>文　　号：国发〔2026〕11号</w:t>
        <w:br/>
        <w:t>发文机关：国务院</w:t>
        <w:br/>
        <w:t>发文日期：2026-08-26</w:t>
      </w:r>
    </w:p>
    <w:p>
      <w:pPr>
        <w:ind w:left="240"/>
      </w:pPr>
      <w:r>
        <w:t>推动AI与制造、消费、治理深度融合，明确六大重点方向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《关于构建数据基础制度更好发挥数据要素作用的意见》</w:t>
      </w:r>
    </w:p>
    <w:p>
      <w:r>
        <w:rPr>
          <w:color w:val="646464"/>
          <w:sz w:val="20"/>
        </w:rPr>
        <w:t>文　　号：暂无</w:t>
        <w:br/>
        <w:t>发文机关：中共中央 国务院</w:t>
        <w:br/>
        <w:t>发文日期：2026-01-10</w:t>
      </w:r>
    </w:p>
    <w:p>
      <w:pPr>
        <w:ind w:left="240"/>
      </w:pPr>
      <w:r>
        <w:t>系统部署数据产权、流通交易、收益分配与安全治理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《数字中国建设整体布局规划（2026年修订版）》</w:t>
      </w:r>
    </w:p>
    <w:p>
      <w:r>
        <w:rPr>
          <w:color w:val="646464"/>
          <w:sz w:val="20"/>
        </w:rPr>
        <w:t>文　　号：暂无</w:t>
        <w:br/>
        <w:t>发文机关：中共中央 国务院</w:t>
        <w:br/>
        <w:t>发文日期：2026-02-15</w:t>
      </w:r>
    </w:p>
    <w:p>
      <w:pPr>
        <w:ind w:left="240"/>
      </w:pPr>
      <w:r>
        <w:t>更新数字基础设施、数据资源与数字治理等五大体系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《算力基础设施高质量发展行动计划》</w:t>
      </w:r>
    </w:p>
    <w:p>
      <w:r>
        <w:rPr>
          <w:color w:val="646464"/>
          <w:sz w:val="20"/>
        </w:rPr>
        <w:t>文　　号：工信部联通信〔2026〕45号</w:t>
        <w:br/>
        <w:t>发文机关：工业和信息化部等六部门</w:t>
        <w:br/>
        <w:t>发文日期：2026-03-01</w:t>
      </w:r>
    </w:p>
    <w:p>
      <w:pPr>
        <w:ind w:left="240"/>
      </w:pPr>
      <w:r>
        <w:t>提出2027年智能算力占比超35%，优化东数西算布局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《人工智能生成合成内容标识办法》</w:t>
      </w:r>
    </w:p>
    <w:p>
      <w:r>
        <w:rPr>
          <w:color w:val="646464"/>
          <w:sz w:val="20"/>
        </w:rPr>
        <w:t>文　　号：暂无</w:t>
        <w:br/>
        <w:t>发文机关：国家互联网信息办公室等四部门</w:t>
        <w:br/>
        <w:t>发文日期：2026-03-20</w:t>
      </w:r>
    </w:p>
    <w:p>
      <w:pPr>
        <w:ind w:left="240"/>
      </w:pPr>
      <w:r>
        <w:t>要求AI生成内容添加显式与隐式标识，规范传播秩序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《网络数据安全管理条例》</w:t>
      </w:r>
    </w:p>
    <w:p>
      <w:r>
        <w:rPr>
          <w:color w:val="646464"/>
          <w:sz w:val="20"/>
        </w:rPr>
        <w:t>文　　号：国务院令第790号</w:t>
        <w:br/>
        <w:t>发文机关：国务院</w:t>
        <w:br/>
        <w:t>发文日期：2026-04-12</w:t>
      </w:r>
    </w:p>
    <w:p>
      <w:pPr>
        <w:ind w:left="240"/>
      </w:pPr>
      <w:r>
        <w:t>细化数据分类分级、跨境流动与平台数据安全义务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《关于推进数字经济创新发展的若干政策》</w:t>
      </w:r>
    </w:p>
    <w:p>
      <w:r>
        <w:rPr>
          <w:color w:val="646464"/>
          <w:sz w:val="20"/>
        </w:rPr>
        <w:t>文　　号：暂无</w:t>
        <w:br/>
        <w:t>发文机关：国家发展改革委</w:t>
        <w:br/>
        <w:t>发文日期：2026-05-08</w:t>
      </w:r>
    </w:p>
    <w:p>
      <w:pPr>
        <w:ind w:left="240"/>
      </w:pPr>
      <w:r>
        <w:t>聚焦数字产业化与产业数字化，提出财税金融支持措施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《上海市数据条例（修正案）》</w:t>
      </w:r>
    </w:p>
    <w:p>
      <w:r>
        <w:rPr>
          <w:color w:val="646464"/>
          <w:sz w:val="20"/>
        </w:rPr>
        <w:t>文　　号：暂无</w:t>
        <w:br/>
        <w:t>发文机关：上海市人民代表大会常务委员会</w:t>
        <w:br/>
        <w:t>发文日期：2026-06-15</w:t>
      </w:r>
    </w:p>
    <w:p>
      <w:pPr>
        <w:ind w:left="240"/>
      </w:pPr>
      <w:r>
        <w:t>增设数据跨境便利化条款，扩大临港新片区试点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《广东省数字经济促进条例》</w:t>
      </w:r>
    </w:p>
    <w:p>
      <w:r>
        <w:rPr>
          <w:color w:val="646464"/>
          <w:sz w:val="20"/>
        </w:rPr>
        <w:t>文　　号：暂无</w:t>
        <w:br/>
        <w:t>发文机关：广东省人民代表大会常务委员会</w:t>
        <w:br/>
        <w:t>发文日期：2026-07-01</w:t>
      </w:r>
    </w:p>
    <w:p>
      <w:pPr>
        <w:ind w:left="240"/>
      </w:pPr>
      <w:r>
        <w:t>明确数字产业化、产业数字化与数据要素市场规则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《浙江省促进人工智能产业发展条例》</w:t>
      </w:r>
    </w:p>
    <w:p>
      <w:r>
        <w:rPr>
          <w:color w:val="646464"/>
          <w:sz w:val="20"/>
        </w:rPr>
        <w:t>文　　号：暂无</w:t>
        <w:br/>
        <w:t>发文机关：浙江省人民代表大会常务委员会</w:t>
        <w:br/>
        <w:t>发文日期：2026-07-20</w:t>
      </w:r>
    </w:p>
    <w:p>
      <w:pPr>
        <w:ind w:left="240"/>
      </w:pPr>
      <w:r>
        <w:t>从算力、算法、数据三要素部署AI产业促进措施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《关键信息基础设施安全保护条例实施细则》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发文日期：2026-08-01</w:t>
      </w:r>
    </w:p>
    <w:p>
      <w:pPr>
        <w:ind w:left="240"/>
      </w:pPr>
      <w:r>
        <w:t>细化关基认定标准、安全检测与应急处置要求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《美国关于安全可信人工智能的行政命令》</w:t>
      </w:r>
    </w:p>
    <w:p>
      <w:r>
        <w:rPr>
          <w:color w:val="646464"/>
          <w:sz w:val="20"/>
        </w:rPr>
        <w:t>文　　号：EO 14179</w:t>
        <w:br/>
        <w:t>发文机关：美国白宫</w:t>
        <w:br/>
        <w:t>发文日期：2026-01-23</w:t>
      </w:r>
    </w:p>
    <w:p>
      <w:pPr>
        <w:ind w:left="240"/>
      </w:pPr>
      <w:r>
        <w:t>要求AI系统安全测试、红队评估与联邦采购安全标准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《欧盟数据法案实施指南》</w:t>
      </w:r>
    </w:p>
    <w:p>
      <w:r>
        <w:rPr>
          <w:color w:val="646464"/>
          <w:sz w:val="20"/>
        </w:rPr>
        <w:t>文　　号：暂无</w:t>
        <w:br/>
        <w:t>发文机关：欧盟委员会</w:t>
        <w:br/>
        <w:t>发文日期：2026-02-28</w:t>
      </w:r>
    </w:p>
    <w:p>
      <w:pPr>
        <w:ind w:left="240"/>
      </w:pPr>
      <w:r>
        <w:t>明确数据共享、云切换与互操作性义务的操作细则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现象：国家数据局9月初推出公共数据资源开发利用意见，上海、广东、浙江密集跟进授权运营细则。逻辑：公共数据被视为数据要素市场化的突破口，地方通过试点争夺规则制定权。研判：授权运营将成地方数据局核心考核指标，但收益分配与安全责任界定不清可能引发合规争议，需关注国家层面统一立法的跟进节奏。</w:t>
      </w:r>
    </w:p>
    <w:p>
      <w:r>
        <w:rPr>
          <w:b/>
          <w:color w:val="5B6DE4"/>
        </w:rPr>
        <w:t xml:space="preserve">②  </w:t>
      </w:r>
      <w:r>
        <w:t>现象：工信部8月底发布工业互联网与AI融合发展通知，江苏、北京等地同步出台算力与AI软件行动方案。逻辑：政策重心从通用大模型转向行业落地，以工业场景牵引算力投资和模型迭代。研判：工业AI将成下一阶段投资热点，但中小企业部署成本高、数据孤岛问题突出，预计将催生一批行业级平台和轻量化解决方案。</w:t>
      </w:r>
    </w:p>
    <w:p>
      <w:r>
        <w:rPr>
          <w:b/>
          <w:color w:val="5B6DE4"/>
        </w:rPr>
        <w:t xml:space="preserve">③  </w:t>
      </w:r>
      <w:r>
        <w:t>现象：网信办更新数据出境安全评估申报指南，上海临港、广东自贸区扩大跨境试点。逻辑：在安全底线之上，通过自贸区负面清单机制探索数据跨境便利化，回应外资企业诉求。研判：数据跨境将呈现“全国管底线、自贸区探上限”的双轨格局，但各地标准不一可能增加企业合规成本，需关注评估互认机制建设。</w:t>
      </w:r>
    </w:p>
    <w:p>
      <w:r>
        <w:rPr>
          <w:b/>
          <w:color w:val="5B6DE4"/>
        </w:rPr>
        <w:t xml:space="preserve">④  </w:t>
      </w:r>
      <w:r>
        <w:t>现象：全国网安标委8月修订生成式AI安全基本要求，新增语料与输出安全评估；欧盟9月发布GPAI行为准则。逻辑：AI安全治理从原则宣示进入操作规范阶段，标准化成为监管落地抓手。研判：AI安全评估将成市场准入门槛，第三方评估机构迎来机遇，但标准碎片化可能制约创新，国际互认需求将上升。</w:t>
      </w:r>
    </w:p>
    <w:p>
      <w:r>
        <w:rPr>
          <w:b/>
          <w:color w:val="5B6DE4"/>
        </w:rPr>
        <w:t xml:space="preserve">⑤  </w:t>
      </w:r>
      <w:r>
        <w:t>现象：国务院8月发布数字政府2.0实施意见，辽宁9月推出三年行动计划，强调AI赋能政务服务。逻辑：数字政府从基础设施建设转向服务体验优化，AI被定位为提升治理效能的关键工具。研判：政务AI应用将加速，但数据共享壁垒和算法透明度问题可能引发公众质疑，需建立政务算法审计与问责机制。</w:t>
      </w:r>
    </w:p>
    <w:p>
      <w:r>
        <w:rPr>
          <w:b/>
          <w:color w:val="5B6DE4"/>
        </w:rPr>
        <w:t xml:space="preserve">⑥  </w:t>
      </w:r>
      <w:r>
        <w:t>现象：中国以数据基础制度+AI标识办法构建治理框架，日本8月出台AI推进法实施细则侧重促进，欧盟AI法案GPAI准则强调风险分级，美国NIST更新风险管理框架偏重技术标准。逻辑：四方路径差异源于监管理念——中国统筹发展与安全，日本产业优先，欧盟权利导向，美国市场驱动。研判：跨境AI合规将成企业出海关键挑战，中国可借鉴欧盟风险分级思路完善自身标准，同时推动与日本在应用层面的互认合作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