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生成日期：2026-10-23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《江苏省支持人工智能创新发展有关实施方案》</w:t>
      </w:r>
    </w:p>
    <w:p>
      <w:r>
        <w:rPr>
          <w:color w:val="646464"/>
          <w:sz w:val="20"/>
        </w:rPr>
        <w:t>文　　号：暂无</w:t>
        <w:br/>
        <w:t>发文机关：江苏省发展改革委等五部门</w:t>
        <w:br/>
        <w:t>发文日期：2026-10-13</w:t>
        <w:br/>
        <w:t>原文链接：https://jszwb.jiangsu.gov.cn/art/2026/10/13/art_92152_11841252.html</w:t>
      </w:r>
    </w:p>
    <w:p>
      <w:pPr>
        <w:ind w:left="240"/>
      </w:pPr>
      <w:r>
        <w:t>依托省一体化算力调度平台发放词元券，支持智能算力服务与人工智能创新。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《江苏省支持人工智能创新发展有关实施方案》</w:t>
      </w:r>
    </w:p>
    <w:p>
      <w:r>
        <w:rPr>
          <w:color w:val="646464"/>
          <w:sz w:val="20"/>
        </w:rPr>
        <w:t>文　　号：暂无</w:t>
        <w:br/>
        <w:t>发文机关：江苏省发展改革委等五部门</w:t>
        <w:br/>
        <w:t>发文日期：2026-10-13</w:t>
        <w:br/>
        <w:t>原文链接：https://jszwb.jiangsu.gov.cn/art/2026/10/13/art_92152_11841252.html</w:t>
      </w:r>
    </w:p>
    <w:p>
      <w:pPr>
        <w:ind w:left="240"/>
      </w:pPr>
      <w:r>
        <w:t>依托省一体化算力调度平台发放词元券，支持智能算力服务与人工智能创新。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部署数字乡村建设五年行动，推动数字化绿色化协同转型与乡村数据治理。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</w:r>
    </w:p>
    <w:p>
      <w:pPr>
        <w:ind w:left="240"/>
      </w:pPr>
      <w:r>
        <w:t>四部门联合部署互联网基础资源高质量发展，强化网络根基与数据要素支撑。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《大型个人信息处理者个人信息保护规定（征求意见稿）》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原文链接：https://www.cac.gov.cn/wxzw/sjzl/A093708index_1.htm</w:t>
      </w:r>
    </w:p>
    <w:p>
      <w:pPr>
        <w:ind w:left="240"/>
      </w:pPr>
      <w:r>
        <w:t>拟对大型个人信息处理者设定专门保护义务，强化数据安全合规。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《汽车数据出境安全指引（试行）》</w:t>
      </w:r>
    </w:p>
    <w:p>
      <w:r>
        <w:rPr>
          <w:color w:val="646464"/>
          <w:sz w:val="20"/>
        </w:rPr>
        <w:t>文　　号：暂无</w:t>
        <w:br/>
        <w:t>发文机关：工业和信息化部、国家网信办、国家发展改革委等八部门</w:t>
        <w:br/>
        <w:t>发文日期：2026-02-03</w:t>
      </w:r>
    </w:p>
    <w:p>
      <w:pPr>
        <w:ind w:left="240"/>
      </w:pPr>
      <w:r>
        <w:t>八部门联合规范汽车数据出境活动，明确安全评估与合规路径。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《天津市算力产业发展实施方案（2024—2026年）》</w:t>
      </w:r>
    </w:p>
    <w:p>
      <w:r>
        <w:rPr>
          <w:color w:val="646464"/>
          <w:sz w:val="20"/>
        </w:rPr>
        <w:t>文　　号：暂无</w:t>
        <w:br/>
        <w:t>发文机关：天津市人民政府办公厅</w:t>
        <w:br/>
        <w:t>发文日期：2024-07-22</w:t>
        <w:br/>
        <w:t>原文链接：https://gyxxh.tj.gov.cn/ZWGK4147/ZCWJ6355/sjwj/202407/t20240722_6681036.html</w:t>
      </w:r>
    </w:p>
    <w:p>
      <w:pPr>
        <w:ind w:left="240"/>
      </w:pPr>
      <w:r>
        <w:t>统筹通用、智能、超级算力一体化布局，打造京津冀算力产业高地。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部署数字乡村建设五年行动，推动数字化绿色化协同转型与乡村数据治理。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《大型个人信息处理者个人信息保护规定（征求意见稿）》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原文链接：https://www.cac.gov.cn/wxzw/sjzl/A093708index_1.htm</w:t>
      </w:r>
    </w:p>
    <w:p>
      <w:pPr>
        <w:ind w:left="240"/>
      </w:pPr>
      <w:r>
        <w:t>拟对大型个人信息处理者设定专门保护义务，强化数据安全合规。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</w:r>
    </w:p>
    <w:p>
      <w:pPr>
        <w:ind w:left="240"/>
      </w:pPr>
      <w:r>
        <w:t>四部门联合部署互联网基础资源高质量发展，强化网络根基与数据要素支撑。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《汽车数据出境安全指引（试行）》</w:t>
      </w:r>
    </w:p>
    <w:p>
      <w:r>
        <w:rPr>
          <w:color w:val="646464"/>
          <w:sz w:val="20"/>
        </w:rPr>
        <w:t>文　　号：暂无</w:t>
        <w:br/>
        <w:t>发文机关：工业和信息化部、国家网信办、国家发展改革委等八部门</w:t>
        <w:br/>
        <w:t>发文日期：2026-02-03</w:t>
      </w:r>
    </w:p>
    <w:p>
      <w:pPr>
        <w:ind w:left="240"/>
      </w:pPr>
      <w:r>
        <w:t>八部门联合规范汽车数据出境活动，明确安全评估与合规路径。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江苏省五部门10月13日印发人工智能创新发展实施方案，首次将“词元券”与省一体化算力监测调度平台绑定，对智能算力服务使用方给予财政补贴。逻辑：这标志地方算力政策从“建算力”转向“用算力”，以需求侧补贴破解算力中心上架率低、中小企业用不起的困局，同时将分散算力纳入统一调度以提升资源利用率。研判：预计浙江、广东等省将跟进类似“算力券”工具，但需警惕补贴催生套利和算力泡沫，后续应建立算力使用绩效评估与退出机制。</w:t>
      </w:r>
    </w:p>
    <w:p>
      <w:r>
        <w:rPr>
          <w:b/>
          <w:color w:val="5B6DE4"/>
        </w:rPr>
        <w:t xml:space="preserve">②  </w:t>
      </w:r>
      <w:r>
        <w:t>现象：国家网信办8月7日就《大型个人信息处理者个人信息保护规定（征求意见稿）》公开征求意见，拟对用户规模巨大的平台设定独立保护义务。逻辑：这是《个人信息保护法》实施近五年后的精细化补丁，针对“大平台”治理能力与风险不匹配问题，引入分类分级监管思路，将合规压力向头部集中。研判：正式稿可能引入独立监督机构或外部审计要求，大型互联网平台需提前调整数据治理架构，中小平台则可能获得相对宽松的合规空间。</w:t>
      </w:r>
    </w:p>
    <w:p>
      <w:r>
        <w:rPr>
          <w:b/>
          <w:color w:val="5B6DE4"/>
        </w:rPr>
        <w:t xml:space="preserve">③  </w:t>
      </w:r>
      <w:r>
        <w:t>现象：工信部等四部门7月1日联合发布《关于推动互联网基础资源高质量发展的指导意见》，将IP地址、域名等基础资源与数据要素、网络安全统筹部署。逻辑：互联网基础资源是数字经济的“根”，此前管理分散于多部门，此次联合发文意在形成合力，为算力网络、工业互联网提供底层标识解析支撑。研判：下一步可能出台基础资源登记与安全监测细则，IPv6规模部署和域名解析安全将成为监管重点，相关企业需关注基础资源合规使用要求。</w:t>
      </w:r>
    </w:p>
    <w:p>
      <w:r>
        <w:rPr>
          <w:b/>
          <w:color w:val="5B6DE4"/>
        </w:rPr>
        <w:t xml:space="preserve">④  </w:t>
      </w:r>
      <w:r>
        <w:t>现象：八部门2月3日联合发布《汽车数据出境安全指引（试行）》，针对智能网联汽车数据出境设定专门规则。逻辑：汽车数据涉及地理信息、个人隐私和国家安全，通用数据出境规则难以覆盖其特殊性，行业化指引是数据跨境制度走向精细化的典型样本。研判：智能网联汽车企业需建立数据分类分级和出境评估双轨机制，未来可能有更多行业（如医疗、金融）出台类似专项出境指引，企业应提前布局数据本地化与合规通道。</w:t>
      </w:r>
    </w:p>
    <w:p>
      <w:r>
        <w:rPr>
          <w:b/>
          <w:color w:val="5B6DE4"/>
        </w:rPr>
        <w:t xml:space="preserve">⑤  </w:t>
      </w:r>
      <w:r>
        <w:t>现象：中央网信办9月11日发布《数字乡村高质量发展行动计划（2026—2030年）》，将数字乡村与数字化绿色化协同转型并列推进。逻辑：数字乡村建设已从基础设施覆盖阶段进入质量提升阶段，政策重心转向数据要素在农业农村的应用和乡村数字治理能力建设。研判：县域数据平台建设和涉农数据共享将成为下一阶段重点，但需防范重复建设和“数字形式主义”，建议建立以应用实效为导向的考核机制。</w:t>
      </w:r>
    </w:p>
    <w:p>
      <w:r>
        <w:rPr>
          <w:b/>
          <w:color w:val="5B6DE4"/>
        </w:rPr>
        <w:t xml:space="preserve">⑥  </w:t>
      </w:r>
      <w:r>
        <w:t>现象：欧盟AI法案2026年进入高风险系统合规期，美国则延续行政令与NIST框架的分散治理路径，日本数字厅2026年重点推进AI行政应用与数据治理一体化。逻辑：中国以国家数据局统筹数据要素、网信办主抓安全合规、工信部推动产业应用，形成“发展—安全—要素”三线并进格局，与欧盟“风险分级、强监管”和美国“市场主导、框架引导”形成鲜明对比。研判：中国可借鉴欧盟风险分级思路完善AI治理细则，同时避免合规成本过高抑制创新，建议在自贸试验区先行试点AI监管沙盒，探索发展与安全平衡的中国方案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