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生成日期：2026-07-12　　数据 · 算力 · 信息化</w:t>
      </w:r>
    </w:p>
    <w:p/>
    <w:p>
      <w:pPr>
        <w:pStyle w:val="Heading1"/>
      </w:pPr>
      <w:r>
        <w:rPr>
          <w:color w:val="5B6DE4"/>
          <w:sz w:val="28"/>
        </w:rPr>
        <w:t>一、过去 24 小时关键政策</w:t>
      </w:r>
    </w:p>
    <w:p/>
    <w:p>
      <w:pPr>
        <w:pStyle w:val="Heading1"/>
      </w:pPr>
      <w:r>
        <w:rPr>
          <w:color w:val="5B6DE4"/>
          <w:sz w:val="28"/>
        </w:rPr>
        <w:t>二、过去一个月主要政策动向</w:t>
      </w:r>
    </w:p>
    <w:p>
      <w:r>
        <w:rPr>
          <w:b/>
          <w:sz w:val="24"/>
        </w:rPr>
        <w:t>《网络数据安全风险评估办法》</w:t>
      </w:r>
    </w:p>
    <w:p>
      <w:r>
        <w:rPr>
          <w:color w:val="646464"/>
          <w:sz w:val="20"/>
        </w:rPr>
        <w:t>文　　号：暂无</w:t>
        <w:br/>
        <w:t>发文机关：国家互联网信息办公室、工业和信息化部、公安部</w:t>
        <w:br/>
        <w:t>发文日期：2026-06-18</w:t>
        <w:br/>
        <w:t>原文链接：https://weibo.com/ttarticle/p/show?id=2309405315921706352708</w:t>
      </w:r>
    </w:p>
    <w:p>
      <w:pPr>
        <w:ind w:left="240"/>
      </w:pPr>
      <w:r>
        <w:t>规定重要数据每年、一般数据每三年开展风险评估，8月20日施行。</w:t>
      </w:r>
    </w:p>
    <w:p>
      <w:pPr>
        <w:spacing w:before="0" w:after="80"/>
        <w:pBdr>
          <w:bottom w:val="single" w:sz="4" w:space="1" w:color="DDDDDD"/>
        </w:pBdr>
      </w:pPr>
    </w:p>
    <w:p>
      <w:r>
        <w:rPr>
          <w:b/>
          <w:sz w:val="24"/>
        </w:rPr>
        <w:t>《工业和信息化部办公厅关于实施人工智能科技伦理审查与服务先导计划的通知》</w:t>
      </w:r>
    </w:p>
    <w:p>
      <w:r>
        <w:rPr>
          <w:color w:val="646464"/>
          <w:sz w:val="20"/>
        </w:rPr>
        <w:t>文　　号：暂无</w:t>
        <w:br/>
        <w:t>发文机关：工业和信息化部办公厅</w:t>
        <w:br/>
        <w:t>发文日期：2026-05-14</w:t>
        <w:br/>
        <w:t>原文链接：https://www.miit.gov.cn/jgsj/kjs/wjfb/</w:t>
      </w:r>
    </w:p>
    <w:p>
      <w:pPr>
        <w:ind w:left="240"/>
      </w:pPr>
      <w:r>
        <w:t>启动AI科技伦理审查先导计划，推动合规发展。</w:t>
      </w:r>
    </w:p>
    <w:p>
      <w:pPr>
        <w:spacing w:before="0" w:after="80"/>
        <w:pBdr>
          <w:bottom w:val="single" w:sz="4" w:space="1" w:color="DDDDDD"/>
        </w:pBdr>
      </w:pPr>
    </w:p>
    <w:p>
      <w:r>
        <w:rPr>
          <w:b/>
          <w:sz w:val="24"/>
        </w:rPr>
        <w:t>《浙江省发展改革委关于推动算力和数据资源共享平台的答复》</w:t>
      </w:r>
    </w:p>
    <w:p>
      <w:r>
        <w:rPr>
          <w:color w:val="646464"/>
          <w:sz w:val="20"/>
        </w:rPr>
        <w:t>文　　号：暂无</w:t>
        <w:br/>
        <w:t>发文机关：浙江省发展和改革委员会</w:t>
        <w:br/>
        <w:t>发文日期：2026-06-25</w:t>
      </w:r>
    </w:p>
    <w:p>
      <w:pPr>
        <w:ind w:left="240"/>
      </w:pPr>
      <w:r>
        <w:t>推动算力和数据资源共享平台建设，优化智算算力。</w:t>
      </w:r>
    </w:p>
    <w:p>
      <w:pPr>
        <w:spacing w:before="0" w:after="80"/>
        <w:pBdr>
          <w:bottom w:val="single" w:sz="4" w:space="1" w:color="DDDDDD"/>
        </w:pBdr>
      </w:pPr>
    </w:p>
    <w:p>
      <w:r>
        <w:rPr>
          <w:b/>
          <w:sz w:val="24"/>
        </w:rPr>
        <w:t>《人工智能拟人化互动服务管理暂行办法》</w:t>
      </w:r>
    </w:p>
    <w:p>
      <w:r>
        <w:rPr>
          <w:color w:val="646464"/>
          <w:sz w:val="20"/>
        </w:rPr>
        <w:t>文　　号：国家网信办等第21号令</w:t>
        <w:br/>
        <w:t>发文机关：国家互联网信息办公室、国家发展改革委、工业和信息化部、公安部、市场监管总局</w:t>
        <w:br/>
        <w:t>发文日期：2026-04-10</w:t>
        <w:br/>
        <w:t>原文链接：https://www.gov.cn/gongbao/2026/issue_12806/202606/content_7072472.html</w:t>
      </w:r>
    </w:p>
    <w:p>
      <w:pPr>
        <w:ind w:left="240"/>
      </w:pPr>
      <w:r>
        <w:t>规范AI拟人化互动服务，7月15日起施行。</w:t>
      </w:r>
    </w:p>
    <w:p>
      <w:pPr>
        <w:spacing w:before="0" w:after="80"/>
        <w:pBdr>
          <w:bottom w:val="single" w:sz="4" w:space="1" w:color="DDDDDD"/>
        </w:pBdr>
      </w:pPr>
    </w:p>
    <w:p>
      <w:r>
        <w:rPr>
          <w:b/>
          <w:sz w:val="24"/>
        </w:rPr>
        <w:t>《福州市2026年工业互联网重点项目补助申报》</w:t>
      </w:r>
    </w:p>
    <w:p>
      <w:r>
        <w:rPr>
          <w:color w:val="646464"/>
          <w:sz w:val="20"/>
        </w:rPr>
        <w:t>文　　号：暂无</w:t>
        <w:br/>
        <w:t>发文机关：福州市工业和信息化局、福州市财政局</w:t>
        <w:br/>
        <w:t>发文日期：2026-03-26</w:t>
        <w:br/>
        <w:t>原文链接：https://www.fuzhou.gov.cn/zgfzzt/sjxw/fzjx/tzgg/202603/t20260326_5301054.htm</w:t>
      </w:r>
    </w:p>
    <w:p>
      <w:pPr>
        <w:ind w:left="240"/>
      </w:pPr>
      <w:r>
        <w:t>对工业互联网项目按实际投资额20%补助，最高200万元。</w:t>
      </w:r>
    </w:p>
    <w:p>
      <w:pPr>
        <w:spacing w:before="0" w:after="80"/>
        <w:pBdr>
          <w:bottom w:val="single" w:sz="4" w:space="1" w:color="DDDDDD"/>
        </w:pBdr>
      </w:pPr>
    </w:p>
    <w:p/>
    <w:p>
      <w:pPr>
        <w:pStyle w:val="Heading1"/>
      </w:pPr>
      <w:r>
        <w:rPr>
          <w:color w:val="5B6DE4"/>
          <w:sz w:val="28"/>
        </w:rPr>
        <w:t>三、今年以来主要政策</w:t>
      </w:r>
    </w:p>
    <w:p>
      <w:r>
        <w:rPr>
          <w:b/>
          <w:sz w:val="24"/>
        </w:rPr>
        <w:t>《人工智能拟人化互动服务管理暂行办法》</w:t>
      </w:r>
    </w:p>
    <w:p>
      <w:r>
        <w:rPr>
          <w:color w:val="646464"/>
          <w:sz w:val="20"/>
        </w:rPr>
        <w:t>文　　号：国家网信办等第21号令</w:t>
        <w:br/>
        <w:t>发文机关：国家互联网信息办公室、国家发展改革委、工业和信息化部、公安部、市场监管总局</w:t>
        <w:br/>
        <w:t>发文日期：2026-04-10</w:t>
        <w:br/>
        <w:t>原文链接：https://www.gov.cn/gongbao/2026/issue_12806/202606/content_7072472.html</w:t>
      </w:r>
    </w:p>
    <w:p>
      <w:pPr>
        <w:ind w:left="240"/>
      </w:pPr>
      <w:r>
        <w:t>规范AI拟人化互动服务，7月15日起施行。</w:t>
      </w:r>
    </w:p>
    <w:p>
      <w:pPr>
        <w:spacing w:before="0" w:after="80"/>
        <w:pBdr>
          <w:bottom w:val="single" w:sz="4" w:space="1" w:color="DDDDDD"/>
        </w:pBdr>
      </w:pPr>
    </w:p>
    <w:p>
      <w:r>
        <w:rPr>
          <w:b/>
          <w:sz w:val="24"/>
        </w:rPr>
        <w:t>《工业和信息化部办公厅关于实施人工智能科技伦理审查与服务先导计划的通知》</w:t>
      </w:r>
    </w:p>
    <w:p>
      <w:r>
        <w:rPr>
          <w:color w:val="646464"/>
          <w:sz w:val="20"/>
        </w:rPr>
        <w:t>文　　号：暂无</w:t>
        <w:br/>
        <w:t>发文机关：工业和信息化部办公厅</w:t>
        <w:br/>
        <w:t>发文日期：2026-05-14</w:t>
        <w:br/>
        <w:t>原文链接：https://www.miit.gov.cn/jgsj/kjs/wjfb/</w:t>
      </w:r>
    </w:p>
    <w:p>
      <w:pPr>
        <w:ind w:left="240"/>
      </w:pPr>
      <w:r>
        <w:t>启动AI科技伦理审查先导计划，推动合规发展。</w:t>
      </w:r>
    </w:p>
    <w:p>
      <w:pPr>
        <w:spacing w:before="0" w:after="80"/>
        <w:pBdr>
          <w:bottom w:val="single" w:sz="4" w:space="1" w:color="DDDDDD"/>
        </w:pBdr>
      </w:pPr>
    </w:p>
    <w:p>
      <w:r>
        <w:rPr>
          <w:b/>
          <w:sz w:val="24"/>
        </w:rPr>
        <w:t>《网络数据安全风险评估办法》</w:t>
      </w:r>
    </w:p>
    <w:p>
      <w:r>
        <w:rPr>
          <w:color w:val="646464"/>
          <w:sz w:val="20"/>
        </w:rPr>
        <w:t>文　　号：暂无</w:t>
        <w:br/>
        <w:t>发文机关：国家互联网信息办公室、工业和信息化部、公安部</w:t>
        <w:br/>
        <w:t>发文日期：2026-06-18</w:t>
        <w:br/>
        <w:t>原文链接：https://weibo.com/ttarticle/p/show?id=2309405315921706352708</w:t>
      </w:r>
    </w:p>
    <w:p>
      <w:pPr>
        <w:ind w:left="240"/>
      </w:pPr>
      <w:r>
        <w:t>规定重要数据每年、一般数据每三年开展风险评估，8月20日施行。</w:t>
      </w:r>
    </w:p>
    <w:p>
      <w:pPr>
        <w:spacing w:before="0" w:after="80"/>
        <w:pBdr>
          <w:bottom w:val="single" w:sz="4" w:space="1" w:color="DDDDDD"/>
        </w:pBdr>
      </w:pPr>
    </w:p>
    <w:p>
      <w:r>
        <w:rPr>
          <w:b/>
          <w:sz w:val="24"/>
        </w:rPr>
        <w:t>《中央网信办专家解读《智能体规范应用与创新发展实施意见》》</w:t>
      </w:r>
    </w:p>
    <w:p>
      <w:r>
        <w:rPr>
          <w:color w:val="646464"/>
          <w:sz w:val="20"/>
        </w:rPr>
        <w:t>文　　号：暂无</w:t>
        <w:br/>
        <w:t>发文机关：中央网络安全和信息化委员会办公室</w:t>
        <w:br/>
        <w:t>发文日期：2026-05-08</w:t>
        <w:br/>
        <w:t>原文链接：https://www.cac.gov.cn/wxzw/zcfg/A093703index_1.htm</w:t>
      </w:r>
    </w:p>
    <w:p>
      <w:pPr>
        <w:ind w:left="240"/>
      </w:pPr>
      <w:r>
        <w:t>解读智能体规范应用与创新发展，统筹发展与安全。</w:t>
      </w:r>
    </w:p>
    <w:p>
      <w:pPr>
        <w:spacing w:before="0" w:after="80"/>
        <w:pBdr>
          <w:bottom w:val="single" w:sz="4" w:space="1" w:color="DDDDDD"/>
        </w:pBdr>
      </w:pPr>
    </w:p>
    <w:p>
      <w:r>
        <w:rPr>
          <w:b/>
          <w:sz w:val="24"/>
        </w:rPr>
        <w:t>《福州市2026年工业互联网重点项目补助申报》</w:t>
      </w:r>
    </w:p>
    <w:p>
      <w:r>
        <w:rPr>
          <w:color w:val="646464"/>
          <w:sz w:val="20"/>
        </w:rPr>
        <w:t>文　　号：暂无</w:t>
        <w:br/>
        <w:t>发文机关：福州市工业和信息化局、福州市财政局</w:t>
        <w:br/>
        <w:t>发文日期：2026-03-26</w:t>
        <w:br/>
        <w:t>原文链接：https://www.fuzhou.gov.cn/zgfzzt/sjxw/fzjx/tzgg/202603/t20260326_5301054.htm</w:t>
      </w:r>
    </w:p>
    <w:p>
      <w:pPr>
        <w:ind w:left="240"/>
      </w:pPr>
      <w:r>
        <w:t>对工业互联网项目按实际投资额20%补助，最高200万元。</w:t>
      </w:r>
    </w:p>
    <w:p>
      <w:pPr>
        <w:spacing w:before="0" w:after="80"/>
        <w:pBdr>
          <w:bottom w:val="single" w:sz="4" w:space="1" w:color="DDDDDD"/>
        </w:pBdr>
      </w:pPr>
    </w:p>
    <w:p>
      <w:r>
        <w:rPr>
          <w:b/>
          <w:sz w:val="24"/>
        </w:rPr>
        <w:t>《浙江省发展改革委关于推动算力和数据资源共享平台的答复》</w:t>
      </w:r>
    </w:p>
    <w:p>
      <w:r>
        <w:rPr>
          <w:color w:val="646464"/>
          <w:sz w:val="20"/>
        </w:rPr>
        <w:t>文　　号：暂无</w:t>
        <w:br/>
        <w:t>发文机关：浙江省发展和改革委员会</w:t>
        <w:br/>
        <w:t>发文日期：2026-06-25</w:t>
      </w:r>
    </w:p>
    <w:p>
      <w:pPr>
        <w:ind w:left="240"/>
      </w:pPr>
      <w:r>
        <w:t>推动算力和数据资源共享平台建设，优化智算算力。</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趋势1：AI拟人化服务进入强监管时代。《人工智能拟人化互动服务管理暂行办法》将于2026年7月15日施行，标志着中国对生成式AI的监管从原则性框架走向具体场景落地。该办法由五部门联合发布，覆盖从伦理审查到服务规范的完整链条，反映出监管层对AI拟人化可能引发的隐私、欺诈、误导等风险的警惕。下一步，预计各地将出台配套实施细则，企业需在合规框架内调整产品设计，尤其是情感陪伴、虚拟主播等垂直领域将面临更严格的准入要求。</w:t>
      </w:r>
    </w:p>
    <w:p>
      <w:r>
        <w:rPr>
          <w:b/>
          <w:color w:val="5B6DE4"/>
        </w:rPr>
        <w:t xml:space="preserve">②  </w:t>
      </w:r>
      <w:r>
        <w:t>趋势2：数据安全风险评估走向常态化、精细化。《网络数据安全风险评估办法》要求重要数据处理者每年评估、一般数据每三年评估，并允许委托第三方机构。这一制度设计借鉴了等级保护的分级思路，但更强调动态评估和外部监督。其政策意图在于压实数据处理者的主体责任，同时培育第三方评估市场。研判认为，该办法将推动数据安全产业规模进一步扩大，但中小企业可能面临合规成本上升的压力，未来或出台针对中小企业的简化评估指南。</w:t>
      </w:r>
    </w:p>
    <w:p>
      <w:r>
        <w:rPr>
          <w:b/>
          <w:color w:val="5B6DE4"/>
        </w:rPr>
        <w:t xml:space="preserve">③  </w:t>
      </w:r>
      <w:r>
        <w:t>趋势3：地方算力布局从“铺摊子”转向“优存量”。天津、浙江、贵阳等地近期纷纷出台算力产业实施方案或答复提案，强调统筹通用、智能、超级算力一体化布局，并推动算力资源共享平台建设。这表明国家“东数西算”工程进入深化阶段，地方不再单纯追求算力规模扩张，而是注重算力与数据、算法的协同应用。下一步，跨区域算力调度和绿色算力将成为政策重点，东部地区可能通过算力券等方式引导企业使用西部算力资源。</w:t>
      </w:r>
    </w:p>
    <w:p>
      <w:r>
        <w:rPr>
          <w:b/>
          <w:color w:val="5B6DE4"/>
        </w:rPr>
        <w:t xml:space="preserve">④  </w:t>
      </w:r>
      <w:r>
        <w:t>趋势4：工业互联网政策从“建平台”转向“用平台”。福州市2026年工业互联网重点项目补助政策明确按实际投资额20%给予补助，且聚焦于信息系统和数字化设备投入。这反映出政策重心已从建设工业互联网平台本身，转向激励企业深度应用平台进行数字化转型。结合北京、威海等地出台的制造业数字化转型方案，可以判断2026年将成为工业互联网“应用深化年”。企业应关注地方配套资金申报窗口，加快生产流程的数字化改造。</w:t>
      </w:r>
    </w:p>
    <w:p>
      <w:r>
        <w:rPr>
          <w:b/>
          <w:color w:val="5B6DE4"/>
        </w:rPr>
        <w:t xml:space="preserve">⑤  </w:t>
      </w:r>
      <w:r>
        <w:t>趋势5：AI伦理审查从倡议走向制度刚性。工信部启动的“人工智能科技伦理审查与服务先导计划”，以及网信办对《智能体规范应用与创新发展实施意见》的解读，共同指向一个趋势：AI伦理审查正在从行业自律上升为行政监管要求。与欧盟《AI法案》的风险分级思路不同，中国更强调通过“先导计划”进行试点探索，再逐步推广。这种“试点-总结-立法”的路径有利于降低政策试错成本，但也给企业带来不确定性，需密切关注试点名单和审查标准。</w:t>
      </w:r>
    </w:p>
    <w:p>
      <w:r>
        <w:rPr>
          <w:b/>
          <w:color w:val="5B6DE4"/>
        </w:rPr>
        <w:t xml:space="preserve">⑥  </w:t>
      </w:r>
      <w:r>
        <w:t>趋势6（国际比较）：中国AI监管侧重场景落地，欧盟侧重风险分级，美国侧重行业自律。中国《人工智能拟人化互动服务管理暂行办法》针对具体应用场景制定规则，类似欧盟《AI法案》对高风险AI系统的要求，但范围更窄、执行更直接。欧盟《AI法案》于2026年全面生效，其风险分级框架涵盖从不可接受风险到最小风险的四个等级，并要求建立监管沙盒。美国则延续行政令模式，由NIST发布AI风险管理框架，强调自愿遵守。三者的差异在于：中国用部门规章快速响应市场变化，欧盟用立法建立长期规则，美国用指南保持灵活性。对中国而言，如何在快速监管与创新激励之间取得平衡，将是未来政策调整的关键。</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