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生成日期：2026-09-12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《个人信息保护政策法规问答（2026年8月）》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梳理个人信息保护法规要点，回应企业合规常见问题。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《数据基础设施 智能体交互技术要求（征求意见稿）》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就数据基础设施与智能体交互技术要求等9项技术文件征求意见。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《网络安全标准实践指南（2026年8月）》</w:t>
      </w:r>
    </w:p>
    <w:p>
      <w:r>
        <w:rPr>
          <w:color w:val="646464"/>
          <w:sz w:val="20"/>
        </w:rPr>
        <w:t>文　　号：暂无</w:t>
        <w:br/>
        <w:t>发文机关：全国网络安全标准化技术委员会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发布网络安全标准实践指南，指导企业落实等级保护要求。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《工业和信息化领域绿色能源相关政策文件》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发文日期：2026-09-04</w:t>
        <w:br/>
        <w:t>原文链接：https://www.miit.gov.cn/xwfb/gxdt/sjdt/index.html</w:t>
      </w:r>
    </w:p>
    <w:p>
      <w:pPr>
        <w:ind w:left="240"/>
      </w:pPr>
      <w:r>
        <w:t>推动工业领域绿色能源应用，涉及数据中心能效与绿电消纳。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《关于征求数据基础设施智能体交互技术要求等9项技术文件意见的通知》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发文日期：2026-08-21</w:t>
        <w:br/>
        <w:t>原文链接：https://www.cac.gov.cn/wxzw/zcfg/A093703index_1.htm</w:t>
      </w:r>
    </w:p>
    <w:p>
      <w:pPr>
        <w:ind w:left="240"/>
      </w:pPr>
      <w:r>
        <w:t>面向社会征求数据基础设施与智能体交互等9项技术文件意见。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发文机关：广东省委网信办</w:t>
        <w:br/>
        <w:t>发文日期：2026-07-24</w:t>
        <w:br/>
        <w:t>原文链接：https://cagd.gov.cn/c/a/12/1.html</w:t>
      </w:r>
    </w:p>
    <w:p>
      <w:pPr>
        <w:ind w:left="240"/>
      </w:pPr>
      <w:r>
        <w:t>广东网信办转发数据出境安全管理政策问答，指导属地企业合规。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降低小型处理者合规成本，2026年9月1日起施行。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部署IPv6技术创新与融合应用，明确2030年前重点任务。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《国家信息化发展报告（2025年）》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发文日期：2026-08-07</w:t>
        <w:br/>
        <w:t>原文链接：https://www.cac.gov.cn/wxzw/wxfb/A093702index_1.htm</w:t>
      </w:r>
    </w:p>
    <w:p>
      <w:pPr>
        <w:ind w:left="240"/>
      </w:pPr>
      <w:r>
        <w:t>总结2025年信息化发展成效，部署下一阶段数字中国建设重点。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原文链接：https://www.cac.gov.cn/wxzw/wxfb/A093702index_1.htm</w:t>
      </w:r>
    </w:p>
    <w:p>
      <w:pPr>
        <w:ind w:left="240"/>
      </w:pPr>
      <w:r>
        <w:t>以问答形式明确数据出境安全评估、标准合同等合规要点。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《关于深入实施“东数西算”工程加快构建全国一体化算力网的实施意见》</w:t>
      </w:r>
    </w:p>
    <w:p>
      <w:r>
        <w:rPr>
          <w:color w:val="646464"/>
          <w:sz w:val="20"/>
        </w:rPr>
        <w:t>文　　号：发改高技〔2026〕1号</w:t>
        <w:br/>
        <w:t>发文机关：国家发展改革委、国家数据局等</w:t>
        <w:br/>
        <w:t>发文日期：2026-01-15</w:t>
      </w:r>
    </w:p>
    <w:p>
      <w:pPr>
        <w:ind w:left="240"/>
      </w:pPr>
      <w:r>
        <w:t>部署全国一体化算力网建设，优化算力枢纽布局与绿色低碳发展。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《关于促进数据产业高质量发展的指导意见》</w:t>
      </w:r>
    </w:p>
    <w:p>
      <w:r>
        <w:rPr>
          <w:color w:val="646464"/>
          <w:sz w:val="20"/>
        </w:rPr>
        <w:t>文　　号：国数〔2026〕2号</w:t>
        <w:br/>
        <w:t>发文机关：国家数据局</w:t>
        <w:br/>
        <w:t>发文日期：2026-02-10</w:t>
      </w:r>
    </w:p>
    <w:p>
      <w:pPr>
        <w:ind w:left="240"/>
      </w:pPr>
      <w:r>
        <w:t>提出数据产业高质量发展目标，培育数据要素市场主体。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《生成式人工智能服务安全基本要求》</w:t>
      </w:r>
    </w:p>
    <w:p>
      <w:r>
        <w:rPr>
          <w:color w:val="646464"/>
          <w:sz w:val="20"/>
        </w:rPr>
        <w:t>文　　号：TC260-003</w:t>
        <w:br/>
        <w:t>发文机关：全国网络安全标准化技术委员会</w:t>
        <w:br/>
        <w:t>发文日期：2026-03-01</w:t>
      </w:r>
    </w:p>
    <w:p>
      <w:pPr>
        <w:ind w:left="240"/>
      </w:pPr>
      <w:r>
        <w:t>规定生成式AI服务在语料安全、内容过滤等方面的基本要求。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《数据资产入表会计处理暂行规定》</w:t>
      </w:r>
    </w:p>
    <w:p>
      <w:r>
        <w:rPr>
          <w:color w:val="646464"/>
          <w:sz w:val="20"/>
        </w:rPr>
        <w:t>文　　号：财会〔2026〕5号</w:t>
        <w:br/>
        <w:t>发文机关：财政部</w:t>
        <w:br/>
        <w:t>发文日期：2026-01-20</w:t>
      </w:r>
    </w:p>
    <w:p>
      <w:pPr>
        <w:ind w:left="240"/>
      </w:pPr>
      <w:r>
        <w:t>规范企业数据资源会计处理，推动数据资产入表。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《上海市数据条例实施细则》</w:t>
      </w:r>
    </w:p>
    <w:p>
      <w:r>
        <w:rPr>
          <w:color w:val="646464"/>
          <w:sz w:val="20"/>
        </w:rPr>
        <w:t>文　　号：沪府令〔2026〕3号</w:t>
        <w:br/>
        <w:t>发文机关：上海市人民政府</w:t>
        <w:br/>
        <w:t>发文日期：2026-03-15</w:t>
      </w:r>
    </w:p>
    <w:p>
      <w:pPr>
        <w:ind w:left="240"/>
      </w:pPr>
      <w:r>
        <w:t>细化上海数据条例，明确数据交易、跨境流动等操作规则。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《江苏省数字经济促进条例》</w:t>
      </w:r>
    </w:p>
    <w:p>
      <w:r>
        <w:rPr>
          <w:color w:val="646464"/>
          <w:sz w:val="20"/>
        </w:rPr>
        <w:t>文　　号：苏人常〔2026〕2号</w:t>
        <w:br/>
        <w:t>发文机关：江苏省人大常委会</w:t>
        <w:br/>
        <w:t>发文日期：2026-02-28</w:t>
      </w:r>
    </w:p>
    <w:p>
      <w:pPr>
        <w:ind w:left="240"/>
      </w:pPr>
      <w:r>
        <w:t>以地方立法促进数字经济，涵盖数据要素、数字产业化等。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《浙江省公共数据授权运营管理办法》</w:t>
      </w:r>
    </w:p>
    <w:p>
      <w:r>
        <w:rPr>
          <w:color w:val="646464"/>
          <w:sz w:val="20"/>
        </w:rPr>
        <w:t>文　　号：浙政办发〔2026〕8号</w:t>
        <w:br/>
        <w:t>发文机关：浙江省人民政府办公厅</w:t>
        <w:br/>
        <w:t>发文日期：2026-04-10</w:t>
      </w:r>
    </w:p>
    <w:p>
      <w:pPr>
        <w:ind w:left="240"/>
      </w:pPr>
      <w:r>
        <w:t>规范公共数据授权运营，明确授权主体、收益分配与安全责任。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《广东省数据要素市场化配置改革行动方案》</w:t>
      </w:r>
    </w:p>
    <w:p>
      <w:r>
        <w:rPr>
          <w:color w:val="646464"/>
          <w:sz w:val="20"/>
        </w:rPr>
        <w:t>文　　号：粤府〔2026〕12号</w:t>
        <w:br/>
        <w:t>发文机关：广东省人民政府</w:t>
        <w:br/>
        <w:t>发文日期：2026-05-06</w:t>
      </w:r>
    </w:p>
    <w:p>
      <w:pPr>
        <w:ind w:left="240"/>
      </w:pPr>
      <w:r>
        <w:t>部署数据要素市场化配置改革，建设数据交易场所与生态。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《辽宁省数字经济发展三年行动方案（2026—2028年）》</w:t>
      </w:r>
    </w:p>
    <w:p>
      <w:r>
        <w:rPr>
          <w:color w:val="646464"/>
          <w:sz w:val="20"/>
        </w:rPr>
        <w:t>文　　号：辽政发〔2026〕7号</w:t>
        <w:br/>
        <w:t>发文机关：辽宁省人民政府</w:t>
        <w:br/>
        <w:t>发文日期：2026-06-01</w:t>
      </w:r>
    </w:p>
    <w:p>
      <w:pPr>
        <w:ind w:left="240"/>
      </w:pPr>
      <w:r>
        <w:t>提出辽宁数字经济三年目标，推动工业数字化转型与算力布局。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《人工智能生成合成内容标识办法》</w:t>
      </w:r>
    </w:p>
    <w:p>
      <w:r>
        <w:rPr>
          <w:color w:val="646464"/>
          <w:sz w:val="20"/>
        </w:rPr>
        <w:t>文　　号：国信办通字〔2026〕4号</w:t>
        <w:br/>
        <w:t>发文机关：国家互联网信息办公室等</w:t>
        <w:br/>
        <w:t>发文日期：2026-03-14</w:t>
      </w:r>
    </w:p>
    <w:p>
      <w:pPr>
        <w:ind w:left="240"/>
      </w:pPr>
      <w:r>
        <w:t>要求AI生成合成内容添加标识，防范虚假信息传播风险。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《关键信息基础设施安全保护条例实施办法》</w:t>
      </w:r>
    </w:p>
    <w:p>
      <w:r>
        <w:rPr>
          <w:color w:val="646464"/>
          <w:sz w:val="20"/>
        </w:rPr>
        <w:t>文　　号：公安部令第169号</w:t>
        <w:br/>
        <w:t>发文机关：公安部</w:t>
        <w:br/>
        <w:t>发文日期：2026-01-08</w:t>
      </w:r>
    </w:p>
    <w:p>
      <w:pPr>
        <w:ind w:left="240"/>
      </w:pPr>
      <w:r>
        <w:t>细化关键信息基础设施认定、保护与监督检查操作规范。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《工业互联网标识解析体系增强行动方案》</w:t>
      </w:r>
    </w:p>
    <w:p>
      <w:r>
        <w:rPr>
          <w:color w:val="646464"/>
          <w:sz w:val="20"/>
        </w:rPr>
        <w:t>文　　号：工信部信管〔2026〕15号</w:t>
        <w:br/>
        <w:t>发文机关：工业和信息化部</w:t>
        <w:br/>
        <w:t>发文日期：2026-04-22</w:t>
      </w:r>
    </w:p>
    <w:p>
      <w:pPr>
        <w:ind w:left="240"/>
      </w:pPr>
      <w:r>
        <w:t>增强工业互联网标识解析体系，推动跨行业跨区域互联互通。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8月密集发布《促进网信企业高质量发展行动计划（2026—2030年）》《国家信息化发展报告（2025年）》及数据基础设施智能体交互技术要求征求意见稿，形成“规划+标准+报告”组合拳。逻辑：这标志网信政策从单点监管转向“发展—安全—标准”三位一体制度设计，以标准化牵引产业升级，以报告制度强化绩效评估。研判：预计四季度将出台配套的网信企业培育细则和智能体交互国标，企业应提前布局数据基础设施合规架构，避免标准落地后的被动适配。</w:t>
      </w:r>
    </w:p>
    <w:p>
      <w:r>
        <w:rPr>
          <w:b/>
          <w:color w:val="5B6DE4"/>
        </w:rPr>
        <w:t xml:space="preserve">②  </w:t>
      </w:r>
      <w:r>
        <w:t>现象：工信部9月初发布电动自行车充电桩强制性国标、卫星网络协调第三方评估通知，并公示先进制造业增值税加计抵减名单。逻辑：政策重心从宏观数字化转向“数字+制造”融合场景的精细化治理，以财税杠杆和第三方评估提升产业链安全与效率。研判：制造业数字化转型将更强调“可量化、可审计”，工业互联网平台需增强数据采集与合规能力，以对接加计抵减和绿色能源政策红利。</w:t>
      </w:r>
    </w:p>
    <w:p>
      <w:r>
        <w:rPr>
          <w:b/>
          <w:color w:val="5B6DE4"/>
        </w:rPr>
        <w:t xml:space="preserve">③  </w:t>
      </w:r>
      <w:r>
        <w:t>现象：全国数标委就《数据基础设施 智能体交互技术要求》等9项技术文件征求意见，网安标委同步发布网络安全标准实践指南。逻辑：AI智能体与数据基础设施的交互缺乏统一规范，标准先行旨在抢占技术话语权，同时为等级保护2.0向AI场景延伸提供依据。研判：智能体交互标准可能成为下一个合规热点，涉及数据接口、身份认证与行为审计，企业应参与标准制定以降低未来合规成本。</w:t>
      </w:r>
    </w:p>
    <w:p>
      <w:r>
        <w:rPr>
          <w:b/>
          <w:color w:val="5B6DE4"/>
        </w:rPr>
        <w:t xml:space="preserve">④  </w:t>
      </w:r>
      <w:r>
        <w:t>现象：网信办7—8月连续发布数据出境安全管理问答、个人信息保护问答及小型处理者简化措施规定，形成“问答+简化+处罚”梯度监管。逻辑：在坚守安全底线前提下，通过简化措施降低中小主体合规成本，体现“分级分类、精准监管”思路，回应企业跨境数据流动的现实需求。研判：数据跨境“白名单”或行业指引有望年内出台，跨国企业应建立数据地图并动态评估出境场景，避免因简化措施误读而触碰红线。</w:t>
      </w:r>
    </w:p>
    <w:p>
      <w:r>
        <w:rPr>
          <w:b/>
          <w:color w:val="5B6DE4"/>
        </w:rPr>
        <w:t xml:space="preserve">⑤  </w:t>
      </w:r>
      <w:r>
        <w:t>现象：上海、江苏、浙江、广东、辽宁等省市上半年密集出台数据条例、数字经济促进条例、公共数据授权运营办法及三年行动方案。逻辑：地方在数据要素市场化配置上展开制度竞赛，试图通过立法和行动方案吸引数据企业、争夺算力与数据交易枢纽地位。研判：区域间数据规则差异可能形成新的“数据壁垒”，国家层面或加快统一数据交易规则，企业应关注长三角、粤港澳的互认机制，优化区域布局。</w:t>
      </w:r>
    </w:p>
    <w:p>
      <w:r>
        <w:rPr>
          <w:b/>
          <w:color w:val="5B6DE4"/>
        </w:rPr>
        <w:t xml:space="preserve">⑥  </w:t>
      </w:r>
      <w:r>
        <w:t>现象：国际比较——欧盟AI Act进入实施阶段并强化GDPR执法，美国以行政令和NIST框架推进AI安全，日本数字厅发布AI政策2026。中国则以网信办行动计划、生成式AI标识办法和智能体交互标准形成“发展+安全+标准”路径。逻辑：欧美偏重风险监管与权利保护，中国更强调产业培育与安全可控并重，日本侧重社会应用。研判：中国应借鉴欧盟风险分级思路完善AI治理，同时输出智能体交互标准以增强国际话语权，企业需同时满足多法域合规要求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