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生成日期：2026-08-15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《专家解读：高质量开展网络数据安全风险评估 推动网络数据安全治理》</w:t>
      </w:r>
    </w:p>
    <w:p>
      <w:r>
        <w:rPr>
          <w:color w:val="646464"/>
          <w:sz w:val="20"/>
        </w:rPr>
        <w:t>文　　号：暂无</w:t>
        <w:br/>
        <w:t>发文机关：中央网络安全和信息化委员会办公室</w:t>
        <w:br/>
        <w:t>发文日期：2026-06-18</w:t>
        <w:br/>
        <w:t>原文链接：https://www.cac.gov.cn/wxzw/zcfg/A093703index_1.htm</w:t>
      </w:r>
    </w:p>
    <w:p>
      <w:pPr>
        <w:ind w:left="240"/>
      </w:pPr>
      <w:r>
        <w:t>解读网络数据安全风险评估制度，推动数据安全治理能力提升。</w:t>
      </w:r>
    </w:p>
    <w:p>
      <w:pPr>
        <w:spacing w:before="0" w:after="80"/>
        <w:pBdr>
          <w:bottom w:val="single" w:sz="4" w:space="1" w:color="DDDDDD"/>
        </w:pBdr>
      </w:pPr>
    </w:p>
    <w:p>
      <w:r>
        <w:rPr>
          <w:b/>
          <w:sz w:val="24"/>
        </w:rPr>
        <w:t>《专家解读：建立健全数据安全风险评估制度 筑牢国家数据安全屏障》</w:t>
      </w:r>
    </w:p>
    <w:p>
      <w:r>
        <w:rPr>
          <w:color w:val="646464"/>
          <w:sz w:val="20"/>
        </w:rPr>
        <w:t>文　　号：暂无</w:t>
        <w:br/>
        <w:t>发文机关：中央网络安全和信息化委员会办公室</w:t>
        <w:br/>
        <w:t>发文日期：2026-07-03</w:t>
        <w:br/>
        <w:t>原文链接：https://www.cac.gov.cn/wxzw/zcfg/A093703index_1.htm</w:t>
      </w:r>
    </w:p>
    <w:p>
      <w:pPr>
        <w:ind w:left="240"/>
      </w:pPr>
      <w:r>
        <w:t>强调建立数据安全风险评估制度，筑牢国家数据安全屏障。</w:t>
      </w:r>
    </w:p>
    <w:p>
      <w:pPr>
        <w:spacing w:before="0" w:after="80"/>
        <w:pBdr>
          <w:bottom w:val="single" w:sz="4" w:space="1" w:color="DDDDDD"/>
        </w:pBdr>
      </w:pPr>
    </w:p>
    <w:p/>
    <w:p>
      <w:pPr>
        <w:pStyle w:val="Heading1"/>
      </w:pPr>
      <w:r>
        <w:rPr>
          <w:color w:val="5B6DE4"/>
          <w:sz w:val="28"/>
        </w:rPr>
        <w:t>三、今年以来主要政策</w:t>
      </w:r>
    </w:p>
    <w:p>
      <w:r>
        <w:rPr>
          <w:b/>
          <w:sz w:val="24"/>
        </w:rPr>
        <w:t>《工业和信息化部等八部门关于印发《汽车数据出境安全指引（2026年）》的通知》</w:t>
      </w:r>
    </w:p>
    <w:p>
      <w:r>
        <w:rPr>
          <w:color w:val="646464"/>
          <w:sz w:val="20"/>
        </w:rPr>
        <w:t>文　　号：工信部联网安〔2026〕27号</w:t>
        <w:br/>
        <w:t>发文机关：工业和信息化部、国家网信办、国家发展改革委、国家数据局、公安部、自然资源部、交通运输部、市场监管总局</w:t>
        <w:br/>
        <w:t>发文日期：2026-02-04</w:t>
        <w:br/>
        <w:t>原文链接：https://www.tjjz.gov.cn/ztzl/szzxfwjz/zcwj/zzgy_175081/202602/t20260204_7238811.html</w:t>
      </w:r>
    </w:p>
    <w:p>
      <w:pPr>
        <w:ind w:left="240"/>
      </w:pPr>
      <w:r>
        <w:t>八部门联合印发指引，规范汽车数据出境活动，保障数据安全。</w:t>
      </w:r>
    </w:p>
    <w:p>
      <w:pPr>
        <w:spacing w:before="0" w:after="80"/>
        <w:pBdr>
          <w:bottom w:val="single" w:sz="4" w:space="1" w:color="DDDDDD"/>
        </w:pBdr>
      </w:pPr>
    </w:p>
    <w:p>
      <w:r>
        <w:rPr>
          <w:b/>
          <w:sz w:val="24"/>
        </w:rPr>
        <w:t>《工业和信息化部等八部门联合发文 推进汽车数据高效便利安全跨境流动》</w:t>
      </w:r>
    </w:p>
    <w:p>
      <w:r>
        <w:rPr>
          <w:color w:val="646464"/>
          <w:sz w:val="20"/>
        </w:rPr>
        <w:t>文　　号：暂无</w:t>
        <w:br/>
        <w:t>发文机关：工业和信息化部、国家网信办、国家发展改革委、国家数据局、公安部、自然资源部、交通运输部、市场监管总局</w:t>
        <w:br/>
        <w:t>发文日期：2026-02-03</w:t>
        <w:br/>
        <w:t>原文链接：https://www.miit.gov.cn/gyhxxhb/jgsj/wlaqglj/zcjd/art/2026/art_4d7ad5b77fc24cdabb2a3ec6c306ce14.html</w:t>
      </w:r>
    </w:p>
    <w:p>
      <w:pPr>
        <w:ind w:left="240"/>
      </w:pPr>
      <w:r>
        <w:t>八部门联合推动建立高效便利安全的汽车数据跨境流动机制。</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近期政策重点从宏观数据要素市场化转向具体行业数据跨境流动的精细化规制。工信部等八部门联合印发《汽车数据出境安全指引（2026年）》，是首个针对垂直行业的数据出境操作指南。其逻辑在于，汽车数据涉及地理信息、个人信息与行车安全，敏感度高，需要行业主管部门协同监管。研判：未来一年，针对金融、医疗、能源等关键领域的数据出境细则将陆续出台，形成‘行业+场景’的矩阵式监管体系。</w:t>
      </w:r>
    </w:p>
    <w:p>
      <w:r>
        <w:rPr>
          <w:b/>
          <w:color w:val="5B6DE4"/>
        </w:rPr>
        <w:t xml:space="preserve">②  </w:t>
      </w:r>
      <w:r>
        <w:t>趋势2（安全合规）：数据安全风险评估从原则性要求走向制度化、常态化。网信办连续发布专家解读文章，强调建立数据安全风险评估制度，这与此前《网络数据安全管理条例》的落地要求一脉相承。其逻辑是通过风险评估前置，将安全监管从事后追责转向事前预防。研判：2026年下半年或将出台数据安全风险评估的国家标准，第三方评估机构市场将迎来爆发，企业数据安全合规成本显著上升。</w:t>
      </w:r>
    </w:p>
    <w:p>
      <w:r>
        <w:rPr>
          <w:b/>
          <w:color w:val="5B6DE4"/>
        </w:rPr>
        <w:t xml:space="preserve">③  </w:t>
      </w:r>
      <w:r>
        <w:t>趋势3（区域格局）：汽车数据跨境流动新规将重塑重点汽车产业省份的竞争格局。上海、广东、吉林等汽车工业重镇，需在国家级指引框架下制定地方实施细则。其逻辑是数据跨境便利化水平直接影响外资车企的研发协同与全球供应链布局。研判：上海临港、广州南沙等自贸区有望率先开展汽车数据跨境流动的负面清单试点，形成可复制经验。</w:t>
      </w:r>
    </w:p>
    <w:p>
      <w:r>
        <w:rPr>
          <w:b/>
          <w:color w:val="5B6DE4"/>
        </w:rPr>
        <w:t xml:space="preserve">④  </w:t>
      </w:r>
      <w:r>
        <w:t>趋势4（产业影响）：数据出境合规要求将推动汽车产业云服务与数据治理工具的本土化替代。指引明确要求数据出境前进行安全评估，这将促使跨国车企加大对国内合规科技供应商的采购。其逻辑是安全可控与产业发展并重，通过合规要求拉动国内数据治理产业链成长。研判：具备车联网数据脱敏、匿名化处理技术的数据服务商将获得政策红利，行业集中度提升。</w:t>
      </w:r>
    </w:p>
    <w:p>
      <w:r>
        <w:rPr>
          <w:b/>
          <w:color w:val="5B6DE4"/>
        </w:rPr>
        <w:t xml:space="preserve">⑤  </w:t>
      </w:r>
      <w:r>
        <w:t>趋势5（技术路线）：数据分类分级制度在汽车行业的落地将加速AI大模型在自动驾驶领域的合规应用。指引要求对汽车数据进行分类分级，这为训练自动驾驶大模型所需的海量路测数据提供了合法使用的边界。其逻辑是通过精细化分类，既保障国家安全与个人隐私，又为AI技术创新留出空间。研判：具备数据标注与分级能力的AI基础设施服务商将迎来新机遇。</w:t>
      </w:r>
    </w:p>
    <w:p>
      <w:r>
        <w:rPr>
          <w:b/>
          <w:color w:val="5B6DE4"/>
        </w:rPr>
        <w:t xml:space="preserve">⑥  </w:t>
      </w:r>
      <w:r>
        <w:t>趋势6（国际比较）：中国汽车数据出境新规与美国、欧盟的路径形成鲜明对比。欧盟依赖GDPR赋予个人数据出境以充分性认定机制，美国则通过行政令与行业自律推动数据自由流动，而中国采取的是行业主管部门联合审批的清单式管理。其逻辑差异源于数据主权观的本质不同。研判：中国模式更强调安全前提下的有序流动，未来或与欧盟探索数据跨境流动的互认机制，但短期内难以达成。</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