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生成日期：2026-08-27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《工业和信息化部等六部门办公厅（综合司）关于开展2026年度智能工厂梯度培育行动的通知》</w:t>
      </w:r>
    </w:p>
    <w:p>
      <w:r>
        <w:rPr>
          <w:color w:val="646464"/>
          <w:sz w:val="20"/>
        </w:rPr>
        <w:t>文　　号：暂无</w:t>
        <w:br/>
        <w:t>发文机关：工业和信息化部等六部门</w:t>
        <w:br/>
        <w:t>发文日期：2026-08-24</w:t>
        <w:br/>
        <w:t>原文链接：https://wap.miit.gov.cn/</w:t>
      </w:r>
    </w:p>
    <w:p>
      <w:pPr>
        <w:ind w:left="240"/>
      </w:pPr>
      <w:r>
        <w:t>开展智能工厂梯度培育行动，推动制造业数字化转型与智能化升级。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《工业和信息化部等六部门办公厅（综合司）关于开展2026年度智能工厂梯度培育行动的通知》</w:t>
      </w:r>
    </w:p>
    <w:p>
      <w:r>
        <w:rPr>
          <w:color w:val="646464"/>
          <w:sz w:val="20"/>
        </w:rPr>
        <w:t>文　　号：暂无</w:t>
        <w:br/>
        <w:t>发文机关：工业和信息化部等六部门</w:t>
        <w:br/>
        <w:t>发文日期：2026-08-24</w:t>
        <w:br/>
        <w:t>原文链接：https://wap.miit.gov.cn/</w:t>
      </w:r>
    </w:p>
    <w:p>
      <w:pPr>
        <w:ind w:left="240"/>
      </w:pPr>
      <w:r>
        <w:t>开展智能工厂梯度培育行动，推动制造业数字化转型与智能化升级。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《全国数据标准化技术委员会2026年第一次主任委员办公会在京召开》</w:t>
      </w:r>
    </w:p>
    <w:p>
      <w:r>
        <w:rPr>
          <w:color w:val="646464"/>
          <w:sz w:val="20"/>
        </w:rPr>
        <w:t>文　　号：暂无</w:t>
        <w:br/>
        <w:t>发文机关：全国数据标准化技术委员会</w:t>
        <w:br/>
        <w:t>发文日期：2026-08-10</w:t>
        <w:br/>
        <w:t>原文链接：https://www.ndrc.gov.cn/</w:t>
      </w:r>
    </w:p>
    <w:p>
      <w:pPr>
        <w:ind w:left="240"/>
      </w:pPr>
      <w:r>
        <w:t>研究部署数据领域国家标准制修订工作，推进数据标准化体系建设。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《APEC数据与人工智能赋能产业发展专题研讨会在成都举行》</w:t>
      </w:r>
    </w:p>
    <w:p>
      <w:r>
        <w:rPr>
          <w:color w:val="646464"/>
          <w:sz w:val="20"/>
        </w:rPr>
        <w:t>文　　号：暂无</w:t>
        <w:br/>
        <w:t>发文机关：国家数据局、四川省</w:t>
        <w:br/>
        <w:t>发文日期：2026-07-29</w:t>
        <w:br/>
        <w:t>原文链接：https://www.ndrc.gov.cn/</w:t>
      </w:r>
    </w:p>
    <w:p>
      <w:pPr>
        <w:ind w:left="240"/>
      </w:pPr>
      <w:r>
        <w:t>围绕数据与AI赋能产业开展APEC框架下国际研讨，促进区域合作。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《关于发布生成式人工智能服务已备案信息的公告（2026年5月至6月）》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发文日期：2026-07-15</w:t>
        <w:br/>
        <w:t>原文链接：https://www.cac.gov.cn/wxzw/wxfb/A093702index_1.htm</w:t>
      </w:r>
    </w:p>
    <w:p>
      <w:pPr>
        <w:ind w:left="240"/>
      </w:pPr>
      <w:r>
        <w:t>公布2026年5-6月生成式AI服务备案信息，落实生成式AI监管要求。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《关于印发《实施网络安全标识的产品目录（第一批）》及相关实施规则的通知》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发文日期：2026-07-06</w:t>
        <w:br/>
        <w:t>原文链接：https://www.cac.gov.cn/wxzw/wxfb/A093702index_1.htm</w:t>
      </w:r>
    </w:p>
    <w:p>
      <w:pPr>
        <w:ind w:left="240"/>
      </w:pPr>
      <w:r>
        <w:t>发布网络安全标识产品目录及实施规则，规范网络安全产品市场。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《国家网信办等三部门联合公布《网络数据安全风险评估办法》》</w:t>
      </w:r>
    </w:p>
    <w:p>
      <w:r>
        <w:rPr>
          <w:color w:val="646464"/>
          <w:sz w:val="20"/>
        </w:rPr>
        <w:t>文　　号：暂无</w:t>
        <w:br/>
        <w:t>发文机关：国家网信办、公安部、国家数据局</w:t>
        <w:br/>
        <w:t>发文日期：2026-06-18</w:t>
        <w:br/>
        <w:t>原文链接：https://www.cac.gov.cn/wxzw/wxfb/A093702index_1.htm</w:t>
      </w:r>
    </w:p>
    <w:p>
      <w:pPr>
        <w:ind w:left="240"/>
      </w:pPr>
      <w:r>
        <w:t>建立网络数据安全风险评估制度，明确评估要求与流程。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《工业和信息化部等八部门关于印发《汽车数据出境安全指引（2026版）》》</w:t>
      </w:r>
    </w:p>
    <w:p>
      <w:r>
        <w:rPr>
          <w:color w:val="646464"/>
          <w:sz w:val="20"/>
        </w:rPr>
        <w:t>文　　号：工信部联网安﹝2026﹞27号</w:t>
        <w:br/>
        <w:t>发文机关：工业和信息化部等八部门</w:t>
        <w:br/>
        <w:t>发文日期：2026-02-03</w:t>
        <w:br/>
        <w:t>原文链接：https://gyxxh.tj.gov.cn/ZWGK4147/ZCWJ6355/gjjwj/202602/t20260203_7238779.html</w:t>
      </w:r>
    </w:p>
    <w:p>
      <w:pPr>
        <w:ind w:left="240"/>
      </w:pPr>
      <w:r>
        <w:t>规范汽车数据出境活动，提升数据出境便利化与安全水平。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《关于提升境外人员入境数字化服务便利性的实施意见》</w:t>
      </w:r>
    </w:p>
    <w:p>
      <w:r>
        <w:rPr>
          <w:color w:val="646464"/>
          <w:sz w:val="20"/>
        </w:rPr>
        <w:t>文　　号：暂无</w:t>
        <w:br/>
        <w:t>发文机关：国家网信办等11部门</w:t>
        <w:br/>
        <w:t>发文日期：2026-02-05</w:t>
        <w:br/>
        <w:t>原文链接：https://www.deheheng.com/zhCN/dynamic/news/2065317352349757451</w:t>
      </w:r>
    </w:p>
    <w:p>
      <w:pPr>
        <w:ind w:left="240"/>
      </w:pPr>
      <w:r>
        <w:t>提升境外人员入境数字化服务便利性，优化跨境数字服务体验。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2026年6月《网络数据安全风险评估办法》出台，标志着数据安全治理从原则性规定走向操作性制度。该办法将风险评估固化为常态化合规义务，与《数据安全法》《个人信息保护法》形成闭环。研判：后续将配套出台评估机构资质认定细则和评估报告格式标准，企业数据安全合规成本将显著上升，数据安全服务市场将迎来爆发期。</w:t>
      </w:r>
    </w:p>
    <w:p>
      <w:r>
        <w:rPr>
          <w:b/>
          <w:color w:val="5B6DE4"/>
        </w:rPr>
        <w:t xml:space="preserve">②  </w:t>
      </w:r>
      <w:r>
        <w:t>趋势2（技术路线）：智能工厂梯度培育行动于8月24日启动，显示政策重心从单一设备智能化转向工厂全流程系统化升级。梯度培育意味着分层施策，避免“一刀切”，引导企业按数字化、网络化、智能化阶梯递进。研判：未来将出现一批“领航级”智能工厂标杆，带动工业软件、工业互联网平台和AI质检等细分赛道高速增长，但中小企业转型门槛问题仍需政策倾斜解决。</w:t>
      </w:r>
    </w:p>
    <w:p>
      <w:r>
        <w:rPr>
          <w:b/>
          <w:color w:val="5B6DE4"/>
        </w:rPr>
        <w:t xml:space="preserve">③  </w:t>
      </w:r>
      <w:r>
        <w:t>趋势3（区域格局）：APEC数字周数据领域系列活动在成都举办，国家数据局与四川省共同参与，显示中西部在数据要素布局中的地位上升。成都作为“东数西算”枢纽节点，正从单纯算力供给向数据加工、交易、应用全链条延伸。研判：中西部省份将竞相争取数据要素综合试验区落地，形成与东部错位竞争的数据产业格局，数据跨域流通机制将成为下一阶段改革重点。</w:t>
      </w:r>
    </w:p>
    <w:p>
      <w:r>
        <w:rPr>
          <w:b/>
          <w:color w:val="5B6DE4"/>
        </w:rPr>
        <w:t xml:space="preserve">④  </w:t>
      </w:r>
      <w:r>
        <w:t>趋势4（产业影响）：《汽车数据出境安全指引（2026版）》由八部门联合印发，针对智能网联汽车这一数据密集场景进行精准规制。指引在安全前提下强调“高效便利”，体现监管从限制转向促进的平衡思路。研判：汽车数据出境负面清单和正面清单有望进一步细化，跨国车企与本土自动驾驶企业的数据合规架构将加速重构，数据出境评估服务需求激增。</w:t>
      </w:r>
    </w:p>
    <w:p>
      <w:r>
        <w:rPr>
          <w:b/>
          <w:color w:val="5B6DE4"/>
        </w:rPr>
        <w:t xml:space="preserve">⑤  </w:t>
      </w:r>
      <w:r>
        <w:t>趋势5（安全合规）：网信办发布《促进网信企业高质量发展行动计划（2026-2030年）》，将“发展”与“安全”并重，显示监管思路从集中整治转向长效促进。行动计划覆盖网信企业全生命周期，强调合规经营与创新发展的统一。研判：后续将配套出台税收优惠、上市融资便利等激励措施，网信企业合规成本有望部分对冲，但数据安全、算法备案等刚性合规要求不会放松。</w:t>
      </w:r>
    </w:p>
    <w:p>
      <w:r>
        <w:rPr>
          <w:b/>
          <w:color w:val="5B6DE4"/>
        </w:rPr>
        <w:t xml:space="preserve">⑥  </w:t>
      </w:r>
      <w:r>
        <w:t>趋势6（国际比较）：中国以《网络数据安全风险评估办法》强化数据安全评估，欧盟通过《人工智能法案》（AI Act）实施风险分级监管，日本则依托数字厅推进“信任互联网”框架，三者路径各异。中国侧重政府主导的风险评估与备案，欧盟强调基于风险分级的市场准入，日本更注重行业自律与国际数据流通（如APEC CBPR）。启示：中国可在数据出境领域借鉴日本“数据自由流动与信任”理念，在AI监管上吸收欧盟风险分级思路，同时保持自身监管效率优势，避免过度规制抑制创新。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