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6DE4"/>
          <w:sz w:val="44"/>
        </w:rPr>
        <w:t>数据和信息化政策日报</w:t>
      </w:r>
    </w:p>
    <w:p>
      <w:pPr>
        <w:jc w:val="center"/>
      </w:pPr>
      <w:r>
        <w:rPr>
          <w:color w:val="828282"/>
          <w:sz w:val="22"/>
        </w:rPr>
        <w:t>生成日期：2026-07-10　　数据 · 算力 · 信息化</w:t>
      </w:r>
    </w:p>
    <w:p/>
    <w:p>
      <w:pPr>
        <w:pStyle w:val="Heading1"/>
      </w:pPr>
      <w:r>
        <w:rPr>
          <w:color w:val="5B6DE4"/>
          <w:sz w:val="28"/>
        </w:rPr>
        <w:t>一、过去 24 小时关键政策</w:t>
      </w:r>
    </w:p>
    <w:p>
      <w:r>
        <w:rPr>
          <w:b/>
          <w:sz w:val="24"/>
        </w:rPr>
        <w:t>《1—5月我国具身智能企业销售收入增长22.4%》</w:t>
      </w:r>
    </w:p>
    <w:p>
      <w:r>
        <w:rPr>
          <w:color w:val="646464"/>
          <w:sz w:val="20"/>
        </w:rPr>
        <w:t>文　　号：暂无</w:t>
        <w:br/>
        <w:t>发文机关：国家税务总局</w:t>
        <w:br/>
        <w:t>发文日期：2026-06-30</w:t>
        <w:br/>
        <w:t>原文链接：https://mp.weixin.qq.com/s?__biz=MzA4NDM5OTExNg==&amp;mid=2652984600&amp;idx=2&amp;sn=7658b7c32b695708b064a88d089fc0d5&amp;chksm=853ce4691dc10c09e8ac46eb6f83300bc575fb4209bfc28fd940b82265c3e54c4c9f750201ef&amp;scene=27</w:t>
      </w:r>
    </w:p>
    <w:p>
      <w:pPr>
        <w:ind w:left="240"/>
      </w:pPr>
      <w:r>
        <w:t>具身智能企业销售收入同比增长22.4%，产业快速发展。</w:t>
      </w:r>
    </w:p>
    <w:p>
      <w:pPr>
        <w:spacing w:before="0" w:after="80"/>
        <w:pBdr>
          <w:bottom w:val="single" w:sz="4" w:space="1" w:color="DDDDDD"/>
        </w:pBdr>
      </w:pPr>
    </w:p>
    <w:p/>
    <w:p>
      <w:pPr>
        <w:pStyle w:val="Heading1"/>
      </w:pPr>
      <w:r>
        <w:rPr>
          <w:color w:val="5B6DE4"/>
          <w:sz w:val="28"/>
        </w:rPr>
        <w:t>二、过去一个月主要政策动向</w:t>
      </w:r>
    </w:p>
    <w:p>
      <w:r>
        <w:rPr>
          <w:b/>
          <w:sz w:val="24"/>
        </w:rPr>
        <w:t>《网络数据安全风险评估办法》</w:t>
      </w:r>
    </w:p>
    <w:p>
      <w:r>
        <w:rPr>
          <w:color w:val="646464"/>
          <w:sz w:val="20"/>
        </w:rPr>
        <w:t>文　　号：暂无</w:t>
        <w:br/>
        <w:t>发文机关：国家网信办、工业和信息化部、公安部</w:t>
        <w:br/>
        <w:t>发文日期：2026-06-18</w:t>
        <w:br/>
        <w:t>原文链接：https://weibo.com/ttarticle/p/show?id=2309405315921706352708</w:t>
      </w:r>
    </w:p>
    <w:p>
      <w:pPr>
        <w:ind w:left="240"/>
      </w:pPr>
      <w:r>
        <w:t>规定重要数据每年评估，一般数据每三年评估一次。</w:t>
      </w:r>
    </w:p>
    <w:p>
      <w:pPr>
        <w:spacing w:before="0" w:after="80"/>
        <w:pBdr>
          <w:bottom w:val="single" w:sz="4" w:space="1" w:color="DDDDDD"/>
        </w:pBdr>
      </w:pPr>
    </w:p>
    <w:p>
      <w:r>
        <w:rPr>
          <w:b/>
          <w:sz w:val="24"/>
        </w:rPr>
        <w:t>《浙江省发展改革委关于省政协十三届三次会议第678号提案的答复》</w:t>
      </w:r>
    </w:p>
    <w:p>
      <w:r>
        <w:rPr>
          <w:color w:val="646464"/>
          <w:sz w:val="20"/>
        </w:rPr>
        <w:t>文　　号：暂无</w:t>
        <w:br/>
        <w:t>发文机关：浙江省发展和改革委员会</w:t>
        <w:br/>
        <w:t>发文日期：2026-06-25</w:t>
      </w:r>
    </w:p>
    <w:p>
      <w:pPr>
        <w:ind w:left="240"/>
      </w:pPr>
      <w:r>
        <w:t>推动算力和数据资源共享平台建设，优化智算算力配置。</w:t>
      </w:r>
    </w:p>
    <w:p>
      <w:pPr>
        <w:spacing w:before="0" w:after="80"/>
        <w:pBdr>
          <w:bottom w:val="single" w:sz="4" w:space="1" w:color="DDDDDD"/>
        </w:pBdr>
      </w:pPr>
    </w:p>
    <w:p>
      <w:r>
        <w:rPr>
          <w:b/>
          <w:sz w:val="24"/>
        </w:rPr>
        <w:t>《协力数据与人工智能领域法律合规动态月报（6月）》</w:t>
      </w:r>
    </w:p>
    <w:p>
      <w:r>
        <w:rPr>
          <w:color w:val="646464"/>
          <w:sz w:val="20"/>
        </w:rPr>
        <w:t>文　　号：暂无</w:t>
        <w:br/>
        <w:t>发文机关：协力律师事务所</w:t>
        <w:br/>
        <w:t>发文日期：2026-06-28</w:t>
        <w:br/>
        <w:t>原文链接：https://mp.weixin.qq.com/s?__biz=MzA3MzM5MDkzMQ==&amp;mid=2650531108&amp;idx=4&amp;sn=a212c82513e3d08160a10bda8f8d4d85&amp;chksm=869818990e2a57f80ddf0eafc14eb1a6a8d5cb2ec5467a315984d05f9da7f71aadc134d621e1&amp;scene=27</w:t>
      </w:r>
    </w:p>
    <w:p>
      <w:pPr>
        <w:ind w:left="240"/>
      </w:pPr>
      <w:r>
        <w:t>梳理数据安全、AI合规等多项征求意见稿。</w:t>
      </w:r>
    </w:p>
    <w:p>
      <w:pPr>
        <w:spacing w:before="0" w:after="80"/>
        <w:pBdr>
          <w:bottom w:val="single" w:sz="4" w:space="1" w:color="DDDDDD"/>
        </w:pBdr>
      </w:pPr>
    </w:p>
    <w:p>
      <w:r>
        <w:rPr>
          <w:b/>
          <w:sz w:val="24"/>
        </w:rPr>
        <w:t>《大成数据合规资讯——2026年第六期》</w:t>
      </w:r>
    </w:p>
    <w:p>
      <w:r>
        <w:rPr>
          <w:color w:val="646464"/>
          <w:sz w:val="20"/>
        </w:rPr>
        <w:t>文　　号：暂无</w:t>
        <w:br/>
        <w:t>发文机关：大成律师事务所</w:t>
        <w:br/>
        <w:t>发文日期：2026-07-01</w:t>
        <w:br/>
        <w:t>原文链接：https://weibo.com/ttarticle/p/show?id=2309405315921706352708</w:t>
      </w:r>
    </w:p>
    <w:p>
      <w:pPr>
        <w:ind w:left="240"/>
      </w:pPr>
      <w:r>
        <w:t>解读《网络数据安全风险评估办法》等新规。</w:t>
      </w:r>
    </w:p>
    <w:p>
      <w:pPr>
        <w:spacing w:before="0" w:after="80"/>
        <w:pBdr>
          <w:bottom w:val="single" w:sz="4" w:space="1" w:color="DDDDDD"/>
        </w:pBdr>
      </w:pPr>
    </w:p>
    <w:p/>
    <w:p>
      <w:pPr>
        <w:pStyle w:val="Heading1"/>
      </w:pPr>
      <w:r>
        <w:rPr>
          <w:color w:val="5B6DE4"/>
          <w:sz w:val="28"/>
        </w:rPr>
        <w:t>三、今年以来主要政策</w:t>
      </w:r>
    </w:p>
    <w:p>
      <w:r>
        <w:rPr>
          <w:b/>
          <w:sz w:val="24"/>
        </w:rPr>
        <w:t>《人工智能拟人化互动服务管理暂行办法》</w:t>
      </w:r>
    </w:p>
    <w:p>
      <w:r>
        <w:rPr>
          <w:color w:val="646464"/>
          <w:sz w:val="20"/>
        </w:rPr>
        <w:t>文　　号：国家网信办等5部门令第21号</w:t>
        <w:br/>
        <w:t>发文机关：国家网信办、国家发展改革委、工业和信息化部、公安部、市场监管总局</w:t>
        <w:br/>
        <w:t>发文日期：2026-04-10</w:t>
        <w:br/>
        <w:t>原文链接：https://www.gov.cn/gongbao/2026/issue_12806/202606/content_7072472.html</w:t>
      </w:r>
    </w:p>
    <w:p>
      <w:pPr>
        <w:ind w:left="240"/>
      </w:pPr>
      <w:r>
        <w:t>规范AI拟人化互动服务，自2026年7月15日起施行。</w:t>
      </w:r>
    </w:p>
    <w:p>
      <w:pPr>
        <w:spacing w:before="0" w:after="80"/>
        <w:pBdr>
          <w:bottom w:val="single" w:sz="4" w:space="1" w:color="DDDDDD"/>
        </w:pBdr>
      </w:pPr>
    </w:p>
    <w:p>
      <w:r>
        <w:rPr>
          <w:b/>
          <w:sz w:val="24"/>
        </w:rPr>
        <w:t>《工业和信息化部办公厅关于实施人工智能科技伦理审查与服务先导计划的通知》</w:t>
      </w:r>
    </w:p>
    <w:p>
      <w:r>
        <w:rPr>
          <w:color w:val="646464"/>
          <w:sz w:val="20"/>
        </w:rPr>
        <w:t>文　　号：暂无</w:t>
        <w:br/>
        <w:t>发文机关：工业和信息化部办公厅</w:t>
        <w:br/>
        <w:t>发文日期：2026-05-14</w:t>
        <w:br/>
        <w:t>原文链接：https://www.miit.gov.cn/jgsj/kjs/wjfb/</w:t>
      </w:r>
    </w:p>
    <w:p>
      <w:pPr>
        <w:ind w:left="240"/>
      </w:pPr>
      <w:r>
        <w:t>启动AI科技伦理审查先导计划，推动伦理治理。</w:t>
      </w:r>
    </w:p>
    <w:p>
      <w:pPr>
        <w:spacing w:before="0" w:after="80"/>
        <w:pBdr>
          <w:bottom w:val="single" w:sz="4" w:space="1" w:color="DDDDDD"/>
        </w:pBdr>
      </w:pPr>
    </w:p>
    <w:p>
      <w:r>
        <w:rPr>
          <w:b/>
          <w:sz w:val="24"/>
        </w:rPr>
        <w:t>《专家解读|统筹高质量发展与高水平安全：从《智能体规范应用与创新发展实施意见》看AI产业新图景》</w:t>
      </w:r>
    </w:p>
    <w:p>
      <w:r>
        <w:rPr>
          <w:color w:val="646464"/>
          <w:sz w:val="20"/>
        </w:rPr>
        <w:t>文　　号：暂无</w:t>
        <w:br/>
        <w:t>发文机关：中央网络安全和信息化委员会办公室</w:t>
        <w:br/>
        <w:t>发文日期：2026-05-08</w:t>
        <w:br/>
        <w:t>原文链接：https://www.cac.gov.cn/wxzw/zcfg/A093703index_1.htm</w:t>
      </w:r>
    </w:p>
    <w:p>
      <w:pPr>
        <w:ind w:left="240"/>
      </w:pPr>
      <w:r>
        <w:t>解读智能体规范应用与创新发展实施意见。</w:t>
      </w:r>
    </w:p>
    <w:p>
      <w:pPr>
        <w:spacing w:before="0" w:after="80"/>
        <w:pBdr>
          <w:bottom w:val="single" w:sz="4" w:space="1" w:color="DDDDDD"/>
        </w:pBdr>
      </w:pPr>
    </w:p>
    <w:p/>
    <w:p>
      <w:pPr>
        <w:pStyle w:val="Heading1"/>
      </w:pPr>
      <w:r>
        <w:rPr>
          <w:color w:val="5B6DE4"/>
          <w:sz w:val="28"/>
        </w:rPr>
        <w:t>四、未来趋势判断</w:t>
      </w:r>
    </w:p>
    <w:p>
      <w:r>
        <w:rPr>
          <w:b/>
          <w:color w:val="5B6DE4"/>
        </w:rPr>
        <w:t xml:space="preserve">①  </w:t>
      </w:r>
      <w:r>
        <w:t>现象：2026年7月15日《人工智能拟人化互动服务管理暂行办法》即将施行，标志着中国对AI拟人化交互（如虚拟伴侣、AI主播）进入专项监管阶段。逻辑：该办法由网信办、发改委、工信部、公安部、市场监管总局五部门联合发布，体现了对AI拟人化服务可能引发的伦理、数据安全、虚假信息等风险的审慎态度，旨在平衡创新与安全。研判：后续可能出台配套的算法备案、内容标识、未成年人保护等细化规则，企业需在合规框架内调整产品设计，行业将加速洗牌。</w:t>
      </w:r>
    </w:p>
    <w:p>
      <w:r>
        <w:rPr>
          <w:b/>
          <w:color w:val="5B6DE4"/>
        </w:rPr>
        <w:t xml:space="preserve">②  </w:t>
      </w:r>
      <w:r>
        <w:t>现象：《网络数据安全风险评估办法》于2026年6月18日发布，要求重要数据每年评估、一般数据每三年评估一次。逻辑：该办法将数据安全评估从“自愿”推向“强制”，并明确可委托第三方评估，旨在构建常态化、制度化的数据安全治理体系，回应《数据安全法》的落地需求。研判：第三方评估机构将迎来市场扩容，但资质认定和监管标准亟待统一；企业数据合规成本短期上升，长期有利于数据要素市场健康发展。</w:t>
      </w:r>
    </w:p>
    <w:p>
      <w:r>
        <w:rPr>
          <w:b/>
          <w:color w:val="5B6DE4"/>
        </w:rPr>
        <w:t xml:space="preserve">③  </w:t>
      </w:r>
      <w:r>
        <w:t>现象：2026年前5个月，我国具身智能企业销售收入同比增长22.4%，电子信息制造业营收增长17.1%。逻辑：具身智能（人形机器人、智能装备）成为新增长极，政策端通过税收优惠、专项基金等方式持续加码，与《“十四五”机器人产业发展规划》形成接力。研判：具身智能有望在制造业、服务业场景加速落地，但核心零部件（如高精度传感器、伺服电机）的国产替代仍是瓶颈，预计国家将出台专项扶持政策。</w:t>
      </w:r>
    </w:p>
    <w:p>
      <w:r>
        <w:rPr>
          <w:b/>
          <w:color w:val="5B6DE4"/>
        </w:rPr>
        <w:t xml:space="preserve">④  </w:t>
      </w:r>
      <w:r>
        <w:t>现象：天津市、青岛市、贵阳市等地密集发布2024-2026年算力产业发展方案，均强调“通算、智算、超算一体化”布局。逻辑：东数西算工程进入深化期，地方政策从“建中心”转向“用算力”，通过算力调度平台、数据训练基地等举措推动算力与产业融合。研判：区域算力竞争将从“规模竞赛”转向“效率与生态竞争”，算力网络标准化、绿色化（PUE管控）将成为下一阶段政策重点。</w:t>
      </w:r>
    </w:p>
    <w:p>
      <w:r>
        <w:rPr>
          <w:b/>
          <w:color w:val="5B6DE4"/>
        </w:rPr>
        <w:t xml:space="preserve">⑤  </w:t>
      </w:r>
      <w:r>
        <w:t>现象：浙江省发改委在政协提案答复中明确推动算力和数据资源共享平台建设，宁波人工智能算力创新平台已上线200P智算算力。逻辑：浙江作为数字经济先行省，通过“四横四纵两端”架构建设一体化公共数据平台，旨在打通数据孤岛，为AI大模型训练提供高质量数据供给。研判：省级数据局在算力-数据协同中的枢纽作用将进一步强化，数据交易所与算力平台的联动模式或在全国推广。</w:t>
      </w:r>
    </w:p>
    <w:p>
      <w:r>
        <w:rPr>
          <w:b/>
          <w:color w:val="5B6DE4"/>
        </w:rPr>
        <w:t xml:space="preserve">⑥  </w:t>
      </w:r>
      <w:r>
        <w:t>现象：中国《人工智能拟人化互动服务管理暂行办法》将于7月15日施行，而欧盟《人工智能法案》（AI Act）已于2024年8月生效，美国则通过行政令和NIST框架进行行业自律。逻辑：中国采取“分类分级+事前备案+事后追责”的强监管路径，欧盟以风险分级（不可接受风险、高风险等）为核心，美国则更依赖自愿性标准和市场驱动。研判：中国模式在AI拟人化等高风险场景上更具约束力，但可能抑制部分创新；欧盟的AI Act覆盖更广，但执行成本高；美国模式灵活性最强，但消费者保护存短板。三者在数据跨境、算法透明度等议题上的规则冲突，将加剧跨国企业的合规复杂性。</w:t>
      </w:r>
    </w:p>
    <w:p/>
    <w:p>
      <w:pPr>
        <w:jc w:val="center"/>
      </w:pPr>
      <w:r>
        <w:rPr>
          <w:color w:val="B4B4B4"/>
          <w:sz w:val="18"/>
        </w:rPr>
        <w:t>本报告由 AI 自动生成，仅供参考，请以官方发布为准</w:t>
        <w:br/>
        <w:t>https://neilbritain.github.io/daily-policy-report</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仿宋" w:hAnsi="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