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生成日期：2026-07-15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《人工智能拟人化互动服务管理暂行办法》</w:t>
      </w:r>
    </w:p>
    <w:p>
      <w:r>
        <w:rPr>
          <w:color w:val="646464"/>
          <w:sz w:val="20"/>
        </w:rPr>
        <w:t>文　　号：国家网信办等五部门令第21号</w:t>
        <w:br/>
        <w:t>发文机关：国家互联网信息办公室、国家发展改革委、工业和信息化部、公安部、市场监管总局</w:t>
        <w:br/>
        <w:t>发文日期：2026-07-15</w:t>
      </w:r>
    </w:p>
    <w:p>
      <w:pPr>
        <w:ind w:left="240"/>
      </w:pPr>
      <w:r>
        <w:t>规范AI拟人化互动服务，明确服务提供者责任与用户权益保护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号：工信部联信管〔2026〕159号</w:t>
        <w:br/>
        <w:t>发文机关：工业和信息化部、中央网信办、国家发展改革委、国家数据局</w:t>
        <w:br/>
        <w:t>发文日期：2026-07-01</w:t>
        <w:br/>
        <w:t>原文链接：https://gyxxh.tj.gov.cn/ZWGK4147/ZCWJ6355/gjjwj/202607/t20260713_7334666.html</w:t>
      </w:r>
    </w:p>
    <w:p>
      <w:pPr>
        <w:ind w:left="240"/>
      </w:pPr>
      <w:r>
        <w:t>推动互联网基础资源（IP地址、域名等）高质量发展，强化安全保障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《高质量数据集建设现场会在广州召开》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部署高质量数据集建设，推动数据要素价值释放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《全国数据标准化技术委员会2026年第一次标准周活动》</w:t>
      </w:r>
    </w:p>
    <w:p>
      <w:r>
        <w:rPr>
          <w:color w:val="646464"/>
          <w:sz w:val="20"/>
        </w:rPr>
        <w:t>文　　号：暂无</w:t>
        <w:br/>
        <w:t>发文机关：全国数据标准化技术委员会</w:t>
        <w:br/>
        <w:t>发文日期：2026-05-20</w:t>
        <w:br/>
        <w:t>原文链接：https://www.ndrc.gov.cn/fzggw/wld/llh/zyhd/index.html</w:t>
      </w:r>
    </w:p>
    <w:p>
      <w:pPr>
        <w:ind w:left="240"/>
      </w:pPr>
      <w:r>
        <w:t>推进数据领域国家标准研制，完善数据治理标准体系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《第九届数字中国建设峰会》</w:t>
      </w:r>
    </w:p>
    <w:p>
      <w:r>
        <w:rPr>
          <w:color w:val="646464"/>
          <w:sz w:val="20"/>
        </w:rPr>
        <w:t>文　　号：暂无</w:t>
        <w:br/>
        <w:t>发文机关：国家数据局等</w:t>
        <w:br/>
        <w:t>发文日期：2026-05-18</w:t>
        <w:br/>
        <w:t>原文链接：https://www.ndrc.gov.cn/fzggw/wld/llh/zyhd/index.html</w:t>
      </w:r>
    </w:p>
    <w:p>
      <w:pPr>
        <w:ind w:left="240"/>
      </w:pPr>
      <w:r>
        <w:t>展示数字中国建设成果，发布数据要素市场化配置改革新举措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《浙江省支持之江人工智能公共算力平台建设》</w:t>
      </w:r>
    </w:p>
    <w:p>
      <w:r>
        <w:rPr>
          <w:color w:val="646464"/>
          <w:sz w:val="20"/>
        </w:rPr>
        <w:t>文　　号：暂无</w:t>
        <w:br/>
        <w:t>发文机关：浙江省发展和改革委员会</w:t>
        <w:br/>
        <w:t>发文日期：2026-06-25</w:t>
      </w:r>
    </w:p>
    <w:p>
      <w:pPr>
        <w:ind w:left="240"/>
      </w:pPr>
      <w:r>
        <w:t>支持混合万卡集群建设，提供普惠算力服务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《关于推动工业互联网高质量发展的实施意见》</w:t>
      </w:r>
    </w:p>
    <w:p>
      <w:r>
        <w:rPr>
          <w:color w:val="646464"/>
          <w:sz w:val="20"/>
        </w:rPr>
        <w:t>文　　号：工信部联信管〔2026〕152号</w:t>
        <w:br/>
        <w:t>发文机关：工业和信息化部等八部门</w:t>
        <w:br/>
        <w:t>发文日期：2026-06-30</w:t>
        <w:br/>
        <w:t>原文链接：https://www.miit.gov.cn/zwgk/zcwj/</w:t>
      </w:r>
    </w:p>
    <w:p>
      <w:pPr>
        <w:ind w:left="240"/>
      </w:pPr>
      <w:r>
        <w:t>八部门联合发文，部署工业互联网高质量发展重点任务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《网络安全等级保护数据安全基本要求》</w:t>
      </w:r>
    </w:p>
    <w:p>
      <w:r>
        <w:rPr>
          <w:color w:val="646464"/>
          <w:sz w:val="20"/>
        </w:rPr>
        <w:t>文　　号：GA/T 2380—2026</w:t>
        <w:br/>
        <w:t>发文机关：公安部</w:t>
        <w:br/>
        <w:t>发文日期：2026-06-01</w:t>
        <w:br/>
        <w:t>原文链接：https://mp.weixin.qq.com/s?__biz=MzA3MzM5MDkzMQ==&amp;mid=2650531108&amp;idx=4&amp;sn=a212c82513e3d08160a10bda8f8d4d85&amp;chksm=869818990e2a57f80ddf0eafc14eb1a6a8d5cb2ec5467a315984d05f9da7f71aadc134d621e1&amp;scene=27</w:t>
      </w:r>
    </w:p>
    <w:p>
      <w:pPr>
        <w:ind w:left="240"/>
      </w:pPr>
      <w:r>
        <w:t>等级保护制度中数据安全要求的具体技术标准正式实施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《国家网络安全事件报告管理办法》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发文日期：2026-01-23</w:t>
        <w:br/>
        <w:t>原文链接：https://www.cac.gov.cn/wxzw/zcfg/gfxwj/A09370305index_1.htm</w:t>
      </w:r>
    </w:p>
    <w:p>
      <w:pPr>
        <w:ind w:left="240"/>
      </w:pPr>
      <w:r>
        <w:t>规范网络安全事件报告流程，提升应急响应能力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《促进和规范数据跨境流动规定实施两周年》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发文日期：2026-03-23</w:t>
        <w:br/>
        <w:t>原文链接：https://www.cac.gov.cn/wxzw/sjzl/gzdt/A09370807index_1.htm</w:t>
      </w:r>
    </w:p>
    <w:p>
      <w:pPr>
        <w:ind w:left="240"/>
      </w:pPr>
      <w:r>
        <w:t>总结数据出境安全管理工作成效，持续优化跨境流动规则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加速，AI拟人化服务进入强监管时代）：2026年7月15日，《人工智能拟人化互动服务管理暂行办法》正式施行，这是全球首部专门针对AI拟人化交互场景的综合性监管规章。该办法要求服务提供者对AI角色进行身份标识、建立用户投诉机制、并禁止生成违法不良信息。其政策逻辑在于：随着情感陪伴类AI应用爆发式增长，用户（尤其是未成年人）可能对AI产生情感依赖甚至被诱导泄露隐私，监管必须从“事后追责”转向“事前预防”。下一步，预计将出台配套的技术标准与检测认证制度，并可能将监管范围扩展至AI语音助手、虚拟主播等更多交互形态。</w:t>
      </w:r>
    </w:p>
    <w:p>
      <w:r>
        <w:rPr>
          <w:b/>
          <w:color w:val="5B6DE4"/>
        </w:rPr>
        <w:t xml:space="preserve">②  </w:t>
      </w:r>
      <w:r>
        <w:t>趋势2（算力布局从“规模扩张”转向“质量与协同”）：近期发布的《关于推动互联网基础资源高质量发展的指导意见》以及天津、浙江等地算力方案均强调“通算、智算、超算一体化”与“算网协同”，而非单纯追求算力规模。这反映出政策重心已从“东数西算”初期的数据中心数量增长，转向解决算力资源利用率低、异构算力调度难等深层次问题。例如，浙江明确支持混合万卡集群建设，旨在打破单一厂商锁定的算力孤岛。研判：未来两年，国家层面可能出台算力互联互通标准，推动形成全国统一的算力大市场，并加强对算力中心能耗PUE的刚性约束。</w:t>
      </w:r>
    </w:p>
    <w:p>
      <w:r>
        <w:rPr>
          <w:b/>
          <w:color w:val="5B6DE4"/>
        </w:rPr>
        <w:t xml:space="preserve">③  </w:t>
      </w:r>
      <w:r>
        <w:t>趋势3（数据治理从“规则制定”进入“标准化落地”阶段）：2026年6月1日实施的《网络安全等级保护数据安全基本要求》（GA/T 2380—2026）标志着数据安全治理从宏观法律（如《数据安全法》）向可执行的技术标准深化。同期，全国数据标准化技术委员会启动标准周活动，高质量数据集建设被提上日程。政策逻辑在于：数据要素市场化配置的前提是数据“可用不可见”且安全合规，而缺乏统一标准正是当前数据流通的堵点。研判：下半年将密集发布数据分类分级、数据质量评估、数据交易接口等一批国家标准，企业数据合规成本短期上升，但长期有利于建立信任机制。</w:t>
      </w:r>
    </w:p>
    <w:p>
      <w:r>
        <w:rPr>
          <w:b/>
          <w:color w:val="5B6DE4"/>
        </w:rPr>
        <w:t xml:space="preserve">④  </w:t>
      </w:r>
      <w:r>
        <w:t>趋势4（工业互联网与AI融合成为制造业数字化转型主引擎）：工信部2026年初发布的《工业互联网和人工智能融合赋能行动方案》以及八部门联合印发的《关于推动工业互联网高质量发展的实施意见》，明确将“AI+工业互联网”作为新型工业化关键路径。从地方实践看，深圳、福州等地纷纷设立数字化转型专项资金，重点支持AI质检、预测性维护等场景。其深层逻辑是：中国制造业面临劳动力成本上升与供应链韧性双重压力，单纯的信息化已不足以应对，必须通过AI实现生产决策的智能化。研判：未来将出现一批行业级工业大模型，但需警惕数据孤岛与模型泛化能力不足的挑战。</w:t>
      </w:r>
    </w:p>
    <w:p>
      <w:r>
        <w:rPr>
          <w:b/>
          <w:color w:val="5B6DE4"/>
        </w:rPr>
        <w:t xml:space="preserve">⑤  </w:t>
      </w:r>
      <w:r>
        <w:t>趋势5（数据跨境流动管理进入“精细化”阶段）：《促进和规范数据跨境流动规定》实施两周年之际，网信办召开外资企业座谈会，释放出在保障安全前提下优化跨境流动便利化的信号。这与2026年初发布的《国家网络安全事件报告管理办法》形成制度闭环：一方面降低合规成本以吸引外资，另一方面强化安全事件报告义务以防范风险。政策意图在于平衡开放与安全，避免因过度限制而影响数字贸易竞争力。研判：中国可能借鉴欧盟“充分性认定”与日本“跨境数据流动规则”经验，推出针对特定国家或行业的白名单机制，但关键基础设施领域的数据出境仍将严格审查。</w:t>
      </w:r>
    </w:p>
    <w:p>
      <w:r>
        <w:rPr>
          <w:b/>
          <w:color w:val="5B6DE4"/>
        </w:rPr>
        <w:t xml:space="preserve">⑥  </w:t>
      </w:r>
      <w:r>
        <w:t>趋势6（国际比较：中国AI监管侧重“场景化”，欧盟重“风险分级”，美国重“行业自律”）：中国于2026年7月15日施行的《人工智能拟人化互动服务管理暂行办法》延续了“场景化监管”思路——针对具体应用场景（如拟人化互动）制定专门规则，而非像欧盟《AI法案》那样对所有AI系统按风险等级统一立法。美国则至今未出台联邦层面AI综合法案，仍依赖行业指南与自愿承诺。中国模式的优势在于快速响应市场变化，但可能面临规则碎片化问题；欧盟模式系统性最强，但立法周期长、灵活性不足；美国模式鼓励创新，但消费者保护存短板。启示：中国可借鉴欧盟风险分级理念对AI应用进行动态分类，同时吸收美国行业自律经验，构建“法规+标准+自律”的混合治理框架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