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生成日期：2026-05-28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/>
    <w:p>
      <w:pPr>
        <w:pStyle w:val="Heading1"/>
      </w:pPr>
      <w:r>
        <w:rPr>
          <w:color w:val="5B6DE4"/>
          <w:sz w:val="28"/>
        </w:rPr>
        <w:t>三、未来趋势判断</w:t>
      </w:r>
    </w:p>
    <w:p>
      <w:r>
        <w:rPr>
          <w:b/>
          <w:color w:val="5B6DE4"/>
        </w:rPr>
        <w:t xml:space="preserve">①  </w:t>
      </w:r>
      <w:r>
        <w:t>当前搜索范围内未发现2026年4月28日后发布的数字领域政策，可能处于政策发布空窗期。</w:t>
      </w:r>
    </w:p>
    <w:p>
      <w:r>
        <w:rPr>
          <w:b/>
          <w:color w:val="5B6DE4"/>
        </w:rPr>
        <w:t xml:space="preserve">②  </w:t>
      </w:r>
      <w:r>
        <w:t>近期无新增算力基础设施或东数西算相关文件，现有政策执行或进入常态化阶段。</w:t>
      </w:r>
    </w:p>
    <w:p>
      <w:r>
        <w:rPr>
          <w:b/>
          <w:color w:val="5B6DE4"/>
        </w:rPr>
        <w:t xml:space="preserve">③  </w:t>
      </w:r>
      <w:r>
        <w:t>人工智能大模型与生成式AI监管领域未见新规，行业或延续既有备案与安全评估要求。</w:t>
      </w:r>
    </w:p>
    <w:p>
      <w:r>
        <w:rPr>
          <w:b/>
          <w:color w:val="5B6DE4"/>
        </w:rPr>
        <w:t xml:space="preserve">④  </w:t>
      </w:r>
      <w:r>
        <w:t>数据要素与数据安全领域无新政策发布，数据资产化进程可能依赖现有制度框架推进。</w:t>
      </w:r>
    </w:p>
    <w:p>
      <w:r>
        <w:rPr>
          <w:b/>
          <w:color w:val="5B6DE4"/>
        </w:rPr>
        <w:t xml:space="preserve">⑤  </w:t>
      </w:r>
      <w:r>
        <w:t>算法治理方面未出台新备案或管理规定，算法推荐服务治理保持现有合规节奏。</w:t>
      </w:r>
    </w:p>
    <w:p>
      <w:r>
        <w:rPr>
          <w:b/>
          <w:color w:val="5B6DE4"/>
        </w:rPr>
        <w:t xml:space="preserve">⑥  </w:t>
      </w:r>
      <w:r>
        <w:t>网络安全与数字政府领域无新通知，等级保护与政务数据共享工作按既有体系运行。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