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生成日期：2026-08-31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《促进网信企业高质量发展行动计划（2026-2030年）》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发文日期：2026-08-21</w:t>
        <w:br/>
        <w:t>原文链接：https://www.cac.gov.cn/wxzw/zcfg/A093703index_1.htm</w:t>
      </w:r>
    </w:p>
    <w:p>
      <w:pPr>
        <w:ind w:left="240"/>
      </w:pPr>
      <w:r>
        <w:t>提出网信企业高质量发展目标，涵盖技术创新、数据安全、国际竞争等。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《促进网信企业高质量发展行动计划（2026-2030年）》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发文日期：2026-08-21</w:t>
        <w:br/>
        <w:t>原文链接：https://www.cac.gov.cn/wxzw/zcfg/A093703index_1.htm</w:t>
      </w:r>
    </w:p>
    <w:p>
      <w:pPr>
        <w:ind w:left="240"/>
      </w:pPr>
      <w:r>
        <w:t>提出网信企业高质量发展目标，涵盖技术创新、数据安全、国际竞争等。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《汽车数据出境安全指引（2026）》</w:t>
      </w:r>
    </w:p>
    <w:p>
      <w:r>
        <w:rPr>
          <w:color w:val="646464"/>
          <w:sz w:val="20"/>
        </w:rPr>
        <w:t>文　　号：工信部联网安〔2026〕27号</w:t>
        <w:br/>
        <w:t>发文机关：工业和信息化部等八部门</w:t>
        <w:br/>
        <w:t>发文日期：2026-02-04</w:t>
        <w:br/>
        <w:t>原文链接：https://www.tjjz.gov.cn/ztzl/szzxfwjz/zcwj/zzgy_175081/202602/t20260204_7238811.html</w:t>
      </w:r>
    </w:p>
    <w:p>
      <w:pPr>
        <w:ind w:left="240"/>
      </w:pPr>
      <w:r>
        <w:t>规范汽车数据出境活动，保障数据安全，促进产业健康发展。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《促进网信企业高质量发展行动计划（2026-2030年）》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发文日期：2026-08-21</w:t>
        <w:br/>
        <w:t>原文链接：https://www.cac.gov.cn/wxzw/zcfg/A093703index_1.htm</w:t>
      </w:r>
    </w:p>
    <w:p>
      <w:pPr>
        <w:ind w:left="240"/>
      </w:pPr>
      <w:r>
        <w:t>提出网信企业高质量发展目标，涵盖技术创新、数据安全、国际竞争等。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网信企业高质量发展行动计划（2026-2030年）的发布，标志着我国网信领域从‘监管合规’向‘发展促进’转型。该计划由中央网信办牵头，聚焦技术创新、数据安全、国际竞争等维度，旨在培育具有全球竞争力的网信企业。其逻辑在于，面对国际技术博弈和国内经济转型压力，政策需从单纯约束转向赋能，通过制度供给激发企业活力。研判：未来将看到更多配套细则，如税收优惠、研发补贴、数据跨境便利化等，但需警惕‘高质量发展’演变为‘规模扩张’，需强化质量考核指标。</w:t>
      </w:r>
    </w:p>
    <w:p>
      <w:r>
        <w:rPr>
          <w:b/>
          <w:color w:val="5B6DE4"/>
        </w:rPr>
        <w:t xml:space="preserve">②  </w:t>
      </w:r>
      <w:r>
        <w:t>趋势2：反网络暴力系列专家解读密集发布，显示网信办正加速构建网络暴力治理的法律工具箱。从‘法治轨道’到‘全链条协同治理’，政策意图清晰：将网络暴力从‘道德谴责’上升为‘法律规制’，通过明确平台责任、用户权益保护、执法衔接等机制，形成闭环治理。研判：下一步可能出台专门的《反网络暴力法》或修订《治安管理处罚法》，但需平衡言论自由与规制强度，避免‘寒蝉效应’，尤其要明确‘网暴’的认定标准，防止滥用。</w:t>
      </w:r>
    </w:p>
    <w:p>
      <w:r>
        <w:rPr>
          <w:b/>
          <w:color w:val="5B6DE4"/>
        </w:rPr>
        <w:t xml:space="preserve">③  </w:t>
      </w:r>
      <w:r>
        <w:t>趋势3：汽车数据出境安全指引（2026）由工信部等八部门联合印发，是数据跨境流动领域的重要细化。该指引针对智能网联汽车的海量数据（如地理信息、生物特征）出境场景，设定分类分级管理要求，体现‘数据主权’与‘产业开放’的平衡。逻辑上，汽车产业全球化程度高，数据出境需求迫切，但安全风险突出，故需部门协同、精准施策。研判：后续将出台更多行业性数据出境指引（如医疗、金融），并可能建立‘白名单’机制，但企业合规成本将上升，需关注中小企业适应能力。</w:t>
      </w:r>
    </w:p>
    <w:p>
      <w:r>
        <w:rPr>
          <w:b/>
          <w:color w:val="5B6DE4"/>
        </w:rPr>
        <w:t xml:space="preserve">④  </w:t>
      </w:r>
      <w:r>
        <w:t>趋势4：从政策发布节奏看，2026年数据治理领域呈现‘高频、专项、协同’特征。网信办、工信部、数据局等多部门密集出台文件，且多采用‘联合发文’形式（如八部门联合），表明数据问题已超越单一部门职责，成为国家治理的交叉地带。逻辑上，数据要素化改革进入深水区，需打破部门壁垒，形成政策合力。研判：未来将建立更常态化的跨部门协调机制（如国家数据局主导），但需防范‘政策叠加’导致企业负担加重，应加强政策一致性评估。</w:t>
      </w:r>
    </w:p>
    <w:p>
      <w:r>
        <w:rPr>
          <w:b/>
          <w:color w:val="5B6DE4"/>
        </w:rPr>
        <w:t xml:space="preserve">⑤  </w:t>
      </w:r>
      <w:r>
        <w:t>趋势5：当前政策聚焦‘高质量发展’与‘安全合规’双主线，但区域落地存在梯度差异。例如，汽车数据出境指引由工信部牵头，但地方执行需结合本地产业特点（如广东、上海的新能源汽车集群），可能催生地方细则。逻辑上，国家层面定框架，地方层面出操作，但若地方标准不一，将增加跨区域经营企业的合规难度。研判：建议国家层面建立‘政策沙盒’机制，允许地方在风险可控下先行先试，同时加强区域互认，避免‘政策洼地’与‘监管套利’。</w:t>
      </w:r>
    </w:p>
    <w:p>
      <w:r>
        <w:rPr>
          <w:b/>
          <w:color w:val="5B6DE4"/>
        </w:rPr>
        <w:t xml:space="preserve">⑥  </w:t>
      </w:r>
      <w:r>
        <w:t>趋势6（国际比较）：中国网信政策强调‘发展促进’与‘安全监管’并重，而日本、美国、欧盟各有侧重。日本2026年推动‘数字社会’建设，侧重数据流通与隐私保护平衡；美国通过行政令强化AI研发但监管相对宽松；欧盟则通过《人工智能法案》和《数据治理法案》构建严格合规框架。中国做法与欧盟相近，但更强调‘发展优先’，通过‘行动计划’引导产业。启示：中国需在‘安全’与‘创新’间寻找动态平衡，避免因过度监管抑制技术迭代，同时借鉴欧盟‘分级监管’经验，对高风险AI应用实施更严格的评估，对低风险应用给予更多自由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