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发文日期：2026-08-20</w:t>
        <w:br/>
        <w:t>原文链接：http://jx.people.com.cn/BIG5/n2/2026/0622/c186330-41616984.html</w:t>
      </w:r>
    </w:p>
    <w:p>
      <w:pPr>
        <w:ind w:left="240"/>
      </w:pPr>
      <w:r>
        <w:t>三部门联合公布，自2026年8月20日起施行，落实数据安全法。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发布最新个人信息保护政策法规问答，指导企业合规实践。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公布2026年5-6月生成式AI服务备案信息，规范市场准入。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发布网络安全标识产品目录第一批，明确实施规则。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更新数据出境安全管理问答，指导企业数据跨境合规。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针对大型平台个人信息保护提出专门规定，公开征求意见。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规范汽车数据出境安全，明确八部门职责与合规要求。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发文日期：2026-01-15</w:t>
      </w:r>
    </w:p>
    <w:p>
      <w:pPr>
        <w:ind w:left="240"/>
      </w:pPr>
      <w:r>
        <w:t>落实数据安全法，细化网络数据处理活动安全管理要求。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《关于促进数据要素市场化配置的指导意见》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发文日期：2026-03-10</w:t>
      </w:r>
    </w:p>
    <w:p>
      <w:pPr>
        <w:ind w:left="240"/>
      </w:pPr>
      <w:r>
        <w:t>推动数据要素市场化配置，建立数据产权交易制度。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《全国一体化算力网建设实施方案》</w:t>
      </w:r>
    </w:p>
    <w:p>
      <w:r>
        <w:rPr>
          <w:color w:val="646464"/>
          <w:sz w:val="20"/>
        </w:rPr>
        <w:t>文　　号：暂无</w:t>
        <w:br/>
        <w:t>发文机关：国家发展改革委、国家数据局</w:t>
        <w:br/>
        <w:t>发文日期：2026-04-08</w:t>
      </w:r>
    </w:p>
    <w:p>
      <w:pPr>
        <w:ind w:left="240"/>
      </w:pPr>
      <w:r>
        <w:t>加快全国一体化算力网建设，优化算力资源布局。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《上海市促进人工智能产业发展条例》</w:t>
      </w:r>
    </w:p>
    <w:p>
      <w:r>
        <w:rPr>
          <w:color w:val="646464"/>
          <w:sz w:val="20"/>
        </w:rPr>
        <w:t>文　　号：暂无</w:t>
        <w:br/>
        <w:t>发文机关：上海市人民代表大会常务委员会</w:t>
        <w:br/>
        <w:t>发文日期：2026-05-20</w:t>
      </w:r>
    </w:p>
    <w:p>
      <w:pPr>
        <w:ind w:left="240"/>
      </w:pPr>
      <w:r>
        <w:t>地方首部AI产业立法，支持大模型创新与应用。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《广东省数据要素市场化配置改革行动方案》</w:t>
      </w:r>
    </w:p>
    <w:p>
      <w:r>
        <w:rPr>
          <w:color w:val="646464"/>
          <w:sz w:val="20"/>
        </w:rPr>
        <w:t>文　　号：暂无</w:t>
        <w:br/>
        <w:t>发文机关：广东省人民政府</w:t>
        <w:br/>
        <w:t>发文日期：2026-02-15</w:t>
      </w:r>
    </w:p>
    <w:p>
      <w:pPr>
        <w:ind w:left="240"/>
      </w:pPr>
      <w:r>
        <w:t>推进数据要素市场化配置改革，培育数据交易市场。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《浙江省数字化改革2026年工作要点》</w:t>
      </w:r>
    </w:p>
    <w:p>
      <w:r>
        <w:rPr>
          <w:color w:val="646464"/>
          <w:sz w:val="20"/>
        </w:rPr>
        <w:t>文　　号：暂无</w:t>
        <w:br/>
        <w:t>发文机关：浙江省数字化改革领导小组</w:t>
        <w:br/>
        <w:t>发文日期：2026-03-01</w:t>
      </w:r>
    </w:p>
    <w:p>
      <w:pPr>
        <w:ind w:left="240"/>
      </w:pPr>
      <w:r>
        <w:t>部署2026年数字化改革重点任务，推进数字浙江建设。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《江苏省制造业智能化改造和数字化转型三年行动计划》</w:t>
      </w:r>
    </w:p>
    <w:p>
      <w:r>
        <w:rPr>
          <w:color w:val="646464"/>
          <w:sz w:val="20"/>
        </w:rPr>
        <w:t>文　　号：暂无</w:t>
        <w:br/>
        <w:t>发文机关：江苏省人民政府</w:t>
        <w:br/>
        <w:t>发文日期：2026-01-20</w:t>
      </w:r>
    </w:p>
    <w:p>
      <w:pPr>
        <w:ind w:left="240"/>
      </w:pPr>
      <w:r>
        <w:t>推动制造业智能化改造和数字化转型，发展工业互联网。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安全风险评估制度正式落地实施。《网络数据安全风险评估办法》于8月20日施行，标志着数据安全治理从原则性规定走向操作性规范。该办法明确风险评估的对象、流程和频次，将数据安全法中的风险评估要求具体化。预计下一步将配套出台行业实施细则，大型互联网平台和重要数据处理者将面临常态化合规压力，数据安全服务市场有望迎来快速增长。</w:t>
      </w:r>
    </w:p>
    <w:p>
      <w:r>
        <w:rPr>
          <w:b/>
          <w:color w:val="5B6DE4"/>
        </w:rPr>
        <w:t xml:space="preserve">②  </w:t>
      </w:r>
      <w:r>
        <w:t>趋势2：大型平台个人信息保护监管进入精细化阶段。网信办8月7日就《大型个人信息处理者个人信息保护规定》征求意见，首次针对大型平台设定专门义务。这反映出监管思路从普遍性规范转向差异化监管，对用户规模、业务复杂度达到一定级别的企业施加更严格的内控和外部监督要求。未来大型平台需建立独立的数据保护机构，合规成本将显著上升。</w:t>
      </w:r>
    </w:p>
    <w:p>
      <w:r>
        <w:rPr>
          <w:b/>
          <w:color w:val="5B6DE4"/>
        </w:rPr>
        <w:t xml:space="preserve">③  </w:t>
      </w:r>
      <w:r>
        <w:t>趋势3：生成式AI备案管理走向常态化、透明化。网信办7月15日发布2026年5-6月生成式AI服务备案公告，备案信息定期公开已成制度。这表明监管层在鼓励AI创新与防范风险间寻求平衡，通过备案制实现市场准入管理。随着备案企业增多，后续监管重点可能转向算法审计和内容安全评估，AI服务提供者需持续关注合规动态。</w:t>
      </w:r>
    </w:p>
    <w:p>
      <w:r>
        <w:rPr>
          <w:b/>
          <w:color w:val="5B6DE4"/>
        </w:rPr>
        <w:t xml:space="preserve">④  </w:t>
      </w:r>
      <w:r>
        <w:t>趋势4：汽车数据出境安全指引升级，行业合规要求细化。工信部等八部门2月发布《汽车数据出境安全指引（2026版）》，针对智能网联汽车数据出境作出专门规定。汽车行业因涉及地理信息、个人信息等多重敏感数据，成为数据跨境监管重点领域。指引明确重要数据识别标准和出境评估流程，预计将推动汽车企业加快数据本地化部署和技术改造。</w:t>
      </w:r>
    </w:p>
    <w:p>
      <w:r>
        <w:rPr>
          <w:b/>
          <w:color w:val="5B6DE4"/>
        </w:rPr>
        <w:t xml:space="preserve">⑤  </w:t>
      </w:r>
      <w:r>
        <w:t>趋势5：地方数据要素市场化改革竞相提速。广东、上海、浙江等地今年密集出台数据要素市场化配置改革方案，探索数据产权、交易定价、收益分配等制度创新。地方先行先试为国家层面立法积累经验，但各地标准不一可能形成制度洼地。预计国家数据局将加强统筹指导，推动建立全国统一的数据交易规则体系，避免市场碎片化。</w:t>
      </w:r>
    </w:p>
    <w:p>
      <w:r>
        <w:rPr>
          <w:b/>
          <w:color w:val="5B6DE4"/>
        </w:rPr>
        <w:t xml:space="preserve">⑥  </w:t>
      </w:r>
      <w:r>
        <w:t>趋势6：国际数据治理框架分化加剧，中国方案强调安全与发展并重。欧盟AI Act分层监管框架全面实施，美国通过行政令推动AI创新与安全平衡，日本数字厅推进数据自由流通与信任（DFFT）倡议。中国以《网络数据安全管理条例》和AI备案制为核心，构建了区别于欧美的监管路径：既不像欧盟那样严格限制高风险AI应用，也不像美国那样依赖行业自律，而是通过行政备案和分类评估实现弹性管控。这种模式在保障安全底线的同时为产业留出发展空间，但对监管执行力提出更高要求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