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生成日期：2026-08-02　　数据 · 算力 · 信息化</w:t>
      </w:r>
    </w:p>
    <w:p/>
    <w:p>
      <w:pPr>
        <w:pStyle w:val="Heading1"/>
      </w:pPr>
      <w:r>
        <w:rPr>
          <w:color w:val="5B6DE4"/>
          <w:sz w:val="28"/>
        </w:rPr>
        <w:t>一、过去 24 小时关键政策</w:t>
      </w:r>
    </w:p>
    <w:p>
      <w:r>
        <w:rPr>
          <w:b/>
          <w:sz w:val="24"/>
        </w:rPr>
        <w:t>《8月新规来了：涉及就业、环保、数据安全等》</w:t>
      </w:r>
    </w:p>
    <w:p>
      <w:r>
        <w:rPr>
          <w:color w:val="646464"/>
          <w:sz w:val="20"/>
        </w:rPr>
        <w:t>文　　号：暂无</w:t>
        <w:br/>
        <w:t>发文机关：中国网/中国发展门户网</w:t>
        <w:br/>
        <w:t>发文日期：2026-07-30</w:t>
        <w:br/>
        <w:t>原文链接：http://cn.chinagate.cn/news/2026-07/30/content_118625098.shtml</w:t>
      </w:r>
    </w:p>
    <w:p>
      <w:pPr>
        <w:ind w:left="240"/>
      </w:pPr>
      <w:r>
        <w:t>梳理8月起施行的新规，涵盖就业、环保、数据安全等领域。</w:t>
      </w:r>
    </w:p>
    <w:p>
      <w:pPr>
        <w:spacing w:before="0" w:after="80"/>
        <w:pBdr>
          <w:bottom w:val="single" w:sz="4" w:space="1" w:color="DDDDDD"/>
        </w:pBdr>
      </w:pPr>
    </w:p>
    <w:p/>
    <w:p>
      <w:pPr>
        <w:pStyle w:val="Heading1"/>
      </w:pPr>
      <w:r>
        <w:rPr>
          <w:color w:val="5B6DE4"/>
          <w:sz w:val="28"/>
        </w:rPr>
        <w:t>二、过去一个月主要政策动向</w:t>
      </w:r>
    </w:p>
    <w:p>
      <w:r>
        <w:rPr>
          <w:b/>
          <w:sz w:val="24"/>
        </w:rPr>
        <w:t>《国家网信办等三部门联合公布《网络数据安全风险评估办法》》</w:t>
      </w:r>
    </w:p>
    <w:p>
      <w:r>
        <w:rPr>
          <w:color w:val="646464"/>
          <w:sz w:val="20"/>
        </w:rPr>
        <w:t>文　　号：暂无</w:t>
        <w:br/>
        <w:t>发文机关：国家互联网信息办公室等三部门</w:t>
        <w:br/>
        <w:t>发文日期：2026-06-18</w:t>
        <w:br/>
        <w:t>原文链接：https://www.cac.gov.cn/wxzw/wxfb/A093702index_1.htm</w:t>
      </w:r>
    </w:p>
    <w:p>
      <w:pPr>
        <w:ind w:left="240"/>
      </w:pPr>
      <w:r>
        <w:t>联合公布《网络数据安全风险评估办法》，规范评估活动。</w:t>
      </w:r>
    </w:p>
    <w:p>
      <w:pPr>
        <w:spacing w:before="0" w:after="80"/>
        <w:pBdr>
          <w:bottom w:val="single" w:sz="4" w:space="1" w:color="DDDDDD"/>
        </w:pBdr>
      </w:pPr>
    </w:p>
    <w:p>
      <w:r>
        <w:rPr>
          <w:b/>
          <w:sz w:val="24"/>
        </w:rPr>
        <w:t>《工信部印发《“人工智能+信息通信”创新发展实施意见（2026—2028年）》》</w:t>
      </w:r>
    </w:p>
    <w:p>
      <w:r>
        <w:rPr>
          <w:color w:val="646464"/>
          <w:sz w:val="20"/>
        </w:rPr>
        <w:t>文　　号：暂无</w:t>
        <w:br/>
        <w:t>发文机关：工业和信息化部</w:t>
        <w:br/>
        <w:t>发文日期：2026-06-12</w:t>
        <w:br/>
        <w:t>原文链接：https://www.hbqj.gov.cn/sjjhxxhj/zfxxgk/zc/bbmwj/202606/t20260612_5957098.html</w:t>
      </w:r>
    </w:p>
    <w:p>
      <w:pPr>
        <w:ind w:left="240"/>
      </w:pPr>
      <w:r>
        <w:t>构建“枢纽—区域—边缘”算力体系，推动AI与信息通信融合。</w:t>
      </w:r>
    </w:p>
    <w:p>
      <w:pPr>
        <w:spacing w:before="0" w:after="80"/>
        <w:pBdr>
          <w:bottom w:val="single" w:sz="4" w:space="1" w:color="DDDDDD"/>
        </w:pBdr>
      </w:pPr>
    </w:p>
    <w:p>
      <w:r>
        <w:rPr>
          <w:b/>
          <w:sz w:val="24"/>
        </w:rPr>
        <w:t>《关于发布生成式人工智能服务已备案信息的公告（2026年5月至6月）》</w:t>
      </w:r>
    </w:p>
    <w:p>
      <w:r>
        <w:rPr>
          <w:color w:val="646464"/>
          <w:sz w:val="20"/>
        </w:rPr>
        <w:t>文　　号：暂无</w:t>
        <w:br/>
        <w:t>发文机关：国家互联网信息办公室</w:t>
        <w:br/>
        <w:t>发文日期：2026-07-15</w:t>
        <w:br/>
        <w:t>原文链接：https://www.cac.gov.cn/wxzw/wxfb/A093702index_1.htm</w:t>
      </w:r>
    </w:p>
    <w:p>
      <w:pPr>
        <w:ind w:left="240"/>
      </w:pPr>
      <w:r>
        <w:t>公布2026年5月至6月生成式人工智能服务已备案信息。</w:t>
      </w:r>
    </w:p>
    <w:p>
      <w:pPr>
        <w:spacing w:before="0" w:after="80"/>
        <w:pBdr>
          <w:bottom w:val="single" w:sz="4" w:space="1" w:color="DDDDDD"/>
        </w:pBdr>
      </w:pPr>
    </w:p>
    <w:p>
      <w:r>
        <w:rPr>
          <w:b/>
          <w:sz w:val="24"/>
        </w:rPr>
        <w:t>《关于印发《实施网络安全标识的产品目录（第一批）》及相关实施规则的通知》</w:t>
      </w:r>
    </w:p>
    <w:p>
      <w:r>
        <w:rPr>
          <w:color w:val="646464"/>
          <w:sz w:val="20"/>
        </w:rPr>
        <w:t>文　　号：暂无</w:t>
        <w:br/>
        <w:t>发文机关：国家互联网信息办公室等</w:t>
        <w:br/>
        <w:t>发文日期：2026-07-06</w:t>
        <w:br/>
        <w:t>原文链接：https://www.cac.gov.cn/wxzw/wxfb/A093702index_1.htm</w:t>
      </w:r>
    </w:p>
    <w:p>
      <w:pPr>
        <w:ind w:left="240"/>
      </w:pPr>
      <w:r>
        <w:t>发布网络安全标识产品目录（第一批）及实施规则。</w:t>
      </w:r>
    </w:p>
    <w:p>
      <w:pPr>
        <w:spacing w:before="0" w:after="80"/>
        <w:pBdr>
          <w:bottom w:val="single" w:sz="4" w:space="1" w:color="DDDDDD"/>
        </w:pBdr>
      </w:pPr>
    </w:p>
    <w:p>
      <w:r>
        <w:rPr>
          <w:b/>
          <w:sz w:val="24"/>
        </w:rPr>
        <w:t>《2026年“人工智能+电竞创新应用大赛”启动》</w:t>
      </w:r>
    </w:p>
    <w:p>
      <w:r>
        <w:rPr>
          <w:color w:val="646464"/>
          <w:sz w:val="20"/>
        </w:rPr>
        <w:t>文　　号：暂无</w:t>
        <w:br/>
        <w:t>发文机关：广西壮族自治区大数据发展局</w:t>
        <w:br/>
        <w:t>发文日期：2026-07-15</w:t>
      </w:r>
    </w:p>
    <w:p>
      <w:pPr>
        <w:ind w:left="240"/>
      </w:pPr>
      <w:r>
        <w:t>广西主办“人工智能+电竞创新应用大赛”，推动AI应用创新。</w:t>
      </w:r>
    </w:p>
    <w:p>
      <w:pPr>
        <w:spacing w:before="0" w:after="80"/>
        <w:pBdr>
          <w:bottom w:val="single" w:sz="4" w:space="1" w:color="DDDDDD"/>
        </w:pBdr>
      </w:pPr>
    </w:p>
    <w:p/>
    <w:p>
      <w:pPr>
        <w:pStyle w:val="Heading1"/>
      </w:pPr>
      <w:r>
        <w:rPr>
          <w:color w:val="5B6DE4"/>
          <w:sz w:val="28"/>
        </w:rPr>
        <w:t>三、今年以来主要政策</w:t>
      </w:r>
    </w:p>
    <w:p>
      <w:r>
        <w:rPr>
          <w:b/>
          <w:sz w:val="24"/>
        </w:rPr>
        <w:t>《工业和信息化部等八部门关于印发《汽车数据出境安全指引（2026版）》》</w:t>
      </w:r>
    </w:p>
    <w:p>
      <w:r>
        <w:rPr>
          <w:color w:val="646464"/>
          <w:sz w:val="20"/>
        </w:rPr>
        <w:t>文　　号：工信部联网安﹝2026﹞27号</w:t>
        <w:br/>
        <w:t>发文机关：工业和信息化部等八部门</w:t>
        <w:br/>
        <w:t>发文日期：2026-02-03</w:t>
        <w:br/>
        <w:t>原文链接：https://gyxxh.tj.gov.cn/ZWGK4147/ZCWJ6355/gjjwj/202602/t20260203_7238779.html</w:t>
      </w:r>
    </w:p>
    <w:p>
      <w:pPr>
        <w:ind w:left="240"/>
      </w:pPr>
      <w:r>
        <w:t>建立高效便利安全的汽车数据跨境流动机制，提升出境便利化。</w:t>
      </w:r>
    </w:p>
    <w:p>
      <w:pPr>
        <w:spacing w:before="0" w:after="80"/>
        <w:pBdr>
          <w:bottom w:val="single" w:sz="4" w:space="1" w:color="DDDDDD"/>
        </w:pBdr>
      </w:pPr>
    </w:p>
    <w:p>
      <w:r>
        <w:rPr>
          <w:b/>
          <w:sz w:val="24"/>
        </w:rPr>
        <w:t>《全国数据工作会议在京召开 明确2026年八方面重点任务》</w:t>
      </w:r>
    </w:p>
    <w:p>
      <w:r>
        <w:rPr>
          <w:color w:val="646464"/>
          <w:sz w:val="20"/>
        </w:rPr>
        <w:t>文　　号：暂无</w:t>
        <w:br/>
        <w:t>发文机关：国家数据局</w:t>
        <w:br/>
        <w:t>发文日期：2026-01-02</w:t>
      </w:r>
    </w:p>
    <w:p>
      <w:pPr>
        <w:ind w:left="240"/>
      </w:pPr>
      <w:r>
        <w:t>部署2026年数据工作，推动数据“供得出、流得动、用得好、保安全”。</w:t>
      </w:r>
    </w:p>
    <w:p>
      <w:pPr>
        <w:spacing w:before="0" w:after="80"/>
        <w:pBdr>
          <w:bottom w:val="single" w:sz="4" w:space="1" w:color="DDDDDD"/>
        </w:pBdr>
      </w:pPr>
    </w:p>
    <w:p>
      <w:r>
        <w:rPr>
          <w:b/>
          <w:sz w:val="24"/>
        </w:rPr>
        <w:t>《国家互联网信息办公室等八部门发布《可能影响未成年人身心健康的网络信息分类办法》》</w:t>
      </w:r>
    </w:p>
    <w:p>
      <w:r>
        <w:rPr>
          <w:color w:val="646464"/>
          <w:sz w:val="20"/>
        </w:rPr>
        <w:t>文　　号：暂无</w:t>
        <w:br/>
        <w:t>发文机关：国家互联网信息办公室等八部门</w:t>
        <w:br/>
        <w:t>发文日期：2026-01-23</w:t>
        <w:br/>
        <w:t>原文链接：https://www.cac.gov.cn/2026-01/23/c_1770728780862340.htm</w:t>
      </w:r>
    </w:p>
    <w:p>
      <w:pPr>
        <w:ind w:left="240"/>
      </w:pPr>
      <w:r>
        <w:t>明确可能影响未成年人身心健康的网络信息分类，自3月1日施行。</w:t>
      </w:r>
    </w:p>
    <w:p>
      <w:pPr>
        <w:spacing w:before="0" w:after="80"/>
        <w:pBdr>
          <w:bottom w:val="single" w:sz="4" w:space="1" w:color="DDDDDD"/>
        </w:pBdr>
      </w:pPr>
    </w:p>
    <w:p>
      <w:r>
        <w:rPr>
          <w:b/>
          <w:sz w:val="24"/>
        </w:rPr>
        <w:t>《《互联网用户账号信息管理规定》8月1日起施行》</w:t>
      </w:r>
    </w:p>
    <w:p>
      <w:r>
        <w:rPr>
          <w:color w:val="646464"/>
          <w:sz w:val="20"/>
        </w:rPr>
        <w:t>文　　号：暂无</w:t>
        <w:br/>
        <w:t>发文机关：国家互联网信息办公室</w:t>
        <w:br/>
        <w:t>发文日期：2026-08-01</w:t>
      </w:r>
    </w:p>
    <w:p>
      <w:pPr>
        <w:ind w:left="240"/>
      </w:pPr>
      <w:r>
        <w:t>规范互联网用户账号信息管理，自2026年8月1日起施行。</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将2026年定位为“数据要素价值释放年”，并印发《2026年数字经济发展工作要点》，核心是建立全国统一数据产权登记制度、推动公共数据授权运营价格机制形成。这标志着数据要素市场化从“地方试点”转向“全国统一规则”阶段。下一步，预计将出台数据产权登记的具体指引和全国一体化数据市场政策文件，数据资产的确认、计量和交易将迎来更明确的制度依据，但各地数据财政的路径依赖可能对统一市场形成一定阻力。</w:t>
      </w:r>
    </w:p>
    <w:p>
      <w:r>
        <w:rPr>
          <w:b/>
          <w:color w:val="5B6DE4"/>
        </w:rPr>
        <w:t xml:space="preserve">②  </w:t>
      </w:r>
      <w:r>
        <w:t>趋势2（技术路线）：工信部《“人工智能+信息通信”创新发展实施意见》明确提出构建“枢纽—区域—边缘”三级节点协同的算力设施体系，并建立统一算力标识体系。这改变了此前“东数西算”以大型枢纽为主的建设思路，更强调算力的泛在协同与就近部署。其政策意图在于支撑AI大模型训练与推理对低时延、高带宽的差异化需求。研判：未来算力网络将更强调“云边端”协同，边缘算力节点的投资和标准制定将成为新热点，但需警惕部分地区重复建设导致资源利用率下降。</w:t>
      </w:r>
    </w:p>
    <w:p>
      <w:r>
        <w:rPr>
          <w:b/>
          <w:color w:val="5B6DE4"/>
        </w:rPr>
        <w:t xml:space="preserve">③  </w:t>
      </w:r>
      <w:r>
        <w:t>趋势3（产业影响）：从工信部“普惠算力赋能中小企业”专项行动，到浙江“人工智能券”、苏州“算力补贴”，中央与地方正协同通过“算力券”等财政工具降低中小企业用算成本。这显示政策重心从“建算力”转向“用算力”，着力培育需求侧市场。逻辑上，这是为了破解国产算力生态“有硬件、缺应用”的困境，通过补贴拉动需求，形成“应用-反馈-迭代”的正循环。研判：算力券的兑付效率和覆盖面将决定政策效果，未来可能从“普惠补贴”转向“精准补贴”，与行业模型开发、数据标注等具体场景深度绑定。</w:t>
      </w:r>
    </w:p>
    <w:p>
      <w:r>
        <w:rPr>
          <w:b/>
          <w:color w:val="5B6DE4"/>
        </w:rPr>
        <w:t xml:space="preserve">④  </w:t>
      </w:r>
      <w:r>
        <w:t>趋势4（安全合规）：国家网信办密集发布《网络数据安全风险评估办法》、网络安全标识产品目录等文件，且《汽车数据出境安全指引（2026版）》由八部门联合印发，凸显“数据跨境流动”与“安全评估”并重的监管思路。政策意图是在保障国家安全前提下，为汽车等关键产业的数据出境提供明确、便利的合规路径。研判：随着更多行业（如生物医药、金融）数据出境需求显现，类似“汽车数据”的行业性出境指引将陆续出台，安全评估将更趋场景化和精细化。</w:t>
      </w:r>
    </w:p>
    <w:p>
      <w:r>
        <w:rPr>
          <w:b/>
          <w:color w:val="5B6DE4"/>
        </w:rPr>
        <w:t xml:space="preserve">⑤  </w:t>
      </w:r>
      <w:r>
        <w:t>趋势5（区域格局）：广西发布“人工智能+”三年行动方案，目标是“北上广研发+广西集成+东盟应用”，并举办“人工智能+电竞”大赛；苏州、福州等地则通过财政补助争夺工业互联网和智算项目。这反映出中西部和二三线城市正避开与一线城市在基础大模型上的正面竞争，转而利用地理区位（面向东盟）和制造业基础（数字化转型）寻求差异化突破。研判：区域AI竞争将从“算力军备竞赛”转向“场景落地竞赛”，能否找到独特的应用场景和商业模式是成败关键。</w:t>
      </w:r>
    </w:p>
    <w:p>
      <w:r>
        <w:rPr>
          <w:b/>
          <w:color w:val="5B6DE4"/>
        </w:rPr>
        <w:t xml:space="preserve">⑥  </w:t>
      </w:r>
      <w:r>
        <w:t>趋势6（国际比较）：中国通过“算力券”和“东数西算”工程，采取的是“政府主导+市场参与”的强激励模式，快速构建算力基础设施并拉动应用需求。相比之下，欧盟《人工智能法案》（AI Act）侧重于风险分级监管，美国则通过出口管制和行政令聚焦于技术领先与安全。中国模式的优势在于资源调配和规模化落地速度快，但在全球治理规则对接上面临挑战。研判：随着中国生成式AI服务备案信息常态化公布，中国正试图在“安全”与“发展”间寻找平衡，其“监管沙盒”与“备案制”结合的路径，与欧盟的“全面立法”和美国的“行业自律”形成鲜明对照，未来三方在AI安全标准上的博弈将影响全球产业格局。</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