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生成日期：2026-07-06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《促进平台经济大中小企业协同发展行动方案（2026—2028年）》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发文机关：工业和信息化部、中央网信办、国家发展改革委、科技部、商务部、市场监管总局、国家数据局</w:t>
        <w:br/>
        <w:t>发文日期：2026-06-18</w:t>
        <w:br/>
        <w:t>原文链接：https://www.miit.gov.cn/xbymdz/zwgk/index.html</w:t>
      </w:r>
    </w:p>
    <w:p>
      <w:pPr>
        <w:ind w:left="240"/>
      </w:pPr>
      <w:r>
        <w:t>七部门联合印发，推动平台经济大中小企业协同发展。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发文机关：国家网信办、工业和信息化部、公安部</w:t>
        <w:br/>
        <w:t>发文日期：2026-06-18</w:t>
      </w:r>
    </w:p>
    <w:p>
      <w:pPr>
        <w:ind w:left="240"/>
      </w:pPr>
      <w:r>
        <w:t>规定重要数据每年评估，一般数据每三年评估一次。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《互联网信息内容多渠道分发服务管理规定》</w:t>
      </w:r>
    </w:p>
    <w:p>
      <w:r>
        <w:rPr>
          <w:color w:val="646464"/>
          <w:sz w:val="20"/>
        </w:rPr>
        <w:t>文　　号：暂无</w:t>
        <w:br/>
        <w:t>发文机关：国家网信办等五部门</w:t>
        <w:br/>
        <w:t>发文日期：2026-06-08</w:t>
        <w:br/>
        <w:t>原文链接：https://www.cac.gov.cn/wxzw/wxfb/A093702index_1.htm</w:t>
      </w:r>
    </w:p>
    <w:p>
      <w:pPr>
        <w:ind w:left="240"/>
      </w:pPr>
      <w:r>
        <w:t>规范互联网信息内容多渠道分发服务。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《2026年提升全民数字素养与技能工作要点》</w:t>
      </w:r>
    </w:p>
    <w:p>
      <w:r>
        <w:rPr>
          <w:color w:val="646464"/>
          <w:sz w:val="20"/>
        </w:rPr>
        <w:t>文　　号：暂无</w:t>
        <w:br/>
        <w:t>发文机关：中央网信办等四部门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四部门印发，推动全民数字素养提升。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《数字赋能基层减负典型案例名单》</w:t>
      </w:r>
    </w:p>
    <w:p>
      <w:r>
        <w:rPr>
          <w:color w:val="646464"/>
          <w:sz w:val="20"/>
        </w:rPr>
        <w:t>文　　号：暂无</w:t>
        <w:br/>
        <w:t>发文机关：工业和信息化部办公厅</w:t>
        <w:br/>
        <w:t>发文日期：2026-02-24</w:t>
        <w:br/>
        <w:t>原文链接：https://wap.miit.gov.cn/jgsj/xxjsfzs/wjfb/</w:t>
      </w:r>
    </w:p>
    <w:p>
      <w:pPr>
        <w:ind w:left="240"/>
      </w:pPr>
      <w:r>
        <w:t>公布数字赋能基层减负典型案例。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《日本AI政策2026》</w:t>
      </w:r>
    </w:p>
    <w:p>
      <w:r>
        <w:rPr>
          <w:color w:val="646464"/>
          <w:sz w:val="20"/>
        </w:rPr>
        <w:t>文　　号：暂无</w:t>
        <w:br/>
        <w:t>发文机关：日本数字厅</w:t>
        <w:br/>
        <w:t>发文日期：2026-01-01</w:t>
      </w:r>
    </w:p>
    <w:p>
      <w:pPr>
        <w:ind w:left="240"/>
      </w:pPr>
      <w:r>
        <w:t>日本推动AI治理与产业应用政策框架。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《欧盟AI法案实施指南》</w:t>
      </w:r>
    </w:p>
    <w:p>
      <w:r>
        <w:rPr>
          <w:color w:val="646464"/>
          <w:sz w:val="20"/>
        </w:rPr>
        <w:t>文　　号：暂无</w:t>
        <w:br/>
        <w:t>发文机关：欧盟委员会</w:t>
        <w:br/>
        <w:t>发文日期：2026-01-01</w:t>
      </w:r>
    </w:p>
    <w:p>
      <w:pPr>
        <w:ind w:left="240"/>
      </w:pPr>
      <w:r>
        <w:t>欧盟AI法案进入实施阶段，发布合规指南。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《美国AI行政令执行进展》</w:t>
      </w:r>
    </w:p>
    <w:p>
      <w:r>
        <w:rPr>
          <w:color w:val="646464"/>
          <w:sz w:val="20"/>
        </w:rPr>
        <w:t>文　　号：暂无</w:t>
        <w:br/>
        <w:t>发文机关：白宫</w:t>
        <w:br/>
        <w:t>发文日期：2026-01-01</w:t>
      </w:r>
    </w:p>
    <w:p>
      <w:pPr>
        <w:ind w:left="240"/>
      </w:pPr>
      <w:r>
        <w:t>美国持续推进AI安全与数据治理行政令。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加速：从数据安全到AI服务全链条监管）：2026年6月《网络数据安全风险评估办法》与《互联网信息内容多渠道分发服务管理规定》相继出台，叠加4月发布的《人工智能拟人化互动服务管理暂行办法》，标志着中国数字政策从单点数据安全向AI服务全链条延伸。逻辑在于：数据流动与AI应用深度耦合，监管需同步覆盖数据采集、处理、分发、交互各环节。研判：未来半年内，针对AI训练数据合规、合成内容标识等细则将密集出台，企业合规成本显著上升。</w:t>
      </w:r>
    </w:p>
    <w:p>
      <w:r>
        <w:rPr>
          <w:b/>
          <w:color w:val="5B6DE4"/>
        </w:rPr>
        <w:t xml:space="preserve">②  </w:t>
      </w:r>
      <w:r>
        <w:t>趋势2（技术路线聚焦：算力与模型协同成为新型工业化核心抓手）：工信部与国家数据局联合启动的“模数共振”行动，明确面向制造业20个重点行业推动AI模型与数据集的协同产出。逻辑在于：算力基础设施建设已进入应用驱动阶段，单纯堆算力无法解决产业痛点，需通过场景化模型与高质量数据集实现价值闭环。研判：2026年下半年，各地将涌现一批行业级“模型+数据”公共服务平台，算力补贴政策可能向模型训练倾斜。</w:t>
      </w:r>
    </w:p>
    <w:p>
      <w:r>
        <w:rPr>
          <w:b/>
          <w:color w:val="5B6DE4"/>
        </w:rPr>
        <w:t xml:space="preserve">③  </w:t>
      </w:r>
      <w:r>
        <w:t>趋势3（区域格局分化：东部城市引领数字化转型，中西部聚焦算力基建）：深圳、上海、福州等地密集发布2026年数字化转型与工业互联网专项资金申报，而天津、贵阳、黑龙江等地则着力布局算力中心与大数据基地。逻辑在于：东部产业基础好，侧重应用赋能；中西部资源禀赋优，侧重算力供给。研判：东数西算工程将加速从“建中心”转向“用中心”，跨区域算力调度与数据流通机制有望在2027年前试点落地。</w:t>
      </w:r>
    </w:p>
    <w:p>
      <w:r>
        <w:rPr>
          <w:b/>
          <w:color w:val="5B6DE4"/>
        </w:rPr>
        <w:t xml:space="preserve">④  </w:t>
      </w:r>
      <w:r>
        <w:t>趋势4（产业影响深化：平台经济协同发展政策重塑大中小企业关系）：七部门联合印发的《促进平台经济大中小企业协同发展行动方案（2026—2028年）》首次系统提出平台经济领域的大中小企业协同机制。逻辑在于：平台经济反垄断进入常态化后，政策重心转向“促发展”，通过数据共享、技术赋能、订单对接等方式构建共生生态。研判：大型平台企业将承担更多“链主”责任，中小企业数字化工具接入门槛有望降低，但数据主权争议可能成为新博弈点。</w:t>
      </w:r>
    </w:p>
    <w:p>
      <w:r>
        <w:rPr>
          <w:b/>
          <w:color w:val="5B6DE4"/>
        </w:rPr>
        <w:t xml:space="preserve">⑤  </w:t>
      </w:r>
      <w:r>
        <w:t>趋势5（安全合规升级：数据安全风险评估常态化，第三方评估市场爆发）：《网络数据安全风险评估办法》要求重要数据处理者每年评估、一般数据每三年评估，并允许委托第三方机构。逻辑在于：数据安全法落地三年后，监管从“建制度”转向“抓落实”，通过周期性评估倒逼企业持续合规。研判：2026年下半年将出现数据安全评估机构资质认证热潮，评估市场规模预计年增50%以上，但评估标准不统一可能引发合规套利。</w:t>
      </w:r>
    </w:p>
    <w:p>
      <w:r>
        <w:rPr>
          <w:b/>
          <w:color w:val="5B6DE4"/>
        </w:rPr>
        <w:t xml:space="preserve">⑥  </w:t>
      </w:r>
      <w:r>
        <w:t>趋势6（国际比较：中国AI监管走“场景细分”路线，与美欧形成差异化竞争）：中国《人工智能拟人化互动服务管理暂行办法》聚焦具体交互场景，欧盟AI法案采用风险分级框架，美国则通过行政令推动行业自愿承诺。逻辑在于：中国更注重应用层快速规范，欧盟侧重系统性风险防控，美国偏好市场化引导。研判：中国模式利于快速响应技术迭代，但可能因规则碎片化增加跨国企业合规复杂度；未来中美欧三方在AI安全标准、数据跨境等议题上的协调与摩擦将同步加剧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