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生成日期：2026-10-18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部署五年数字乡村建设，推进乡村数字基础设施与数据要素融合。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  <w:br/>
        <w:t>原文链接：https://www.cac.gov.cn/wxzw/sjzl/A093708index_1.htm</w:t>
      </w:r>
    </w:p>
    <w:p>
      <w:pPr>
        <w:ind w:left="240"/>
      </w:pPr>
      <w:r>
        <w:t>通报个人信息保护专项行动进展，查处违规收集使用行为。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统筹互联网基础资源规划，强化域名、IP地址等资源管理与安全保障。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发文日期：2026-02-03</w:t>
      </w:r>
    </w:p>
    <w:p>
      <w:pPr>
        <w:ind w:left="240"/>
      </w:pPr>
      <w:r>
        <w:t>明确汽车数据出境安全评估流程与合规要求，规范跨境数据传输。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拟对大型个人信息处理者设定专门保护义务与合规管理要求。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《天津市算力产业发展实施方案（2024—2026年）》</w:t>
      </w:r>
    </w:p>
    <w:p>
      <w:r>
        <w:rPr>
          <w:color w:val="646464"/>
          <w:sz w:val="20"/>
        </w:rPr>
        <w:t>文　　号：暂无</w:t>
        <w:br/>
        <w:t>发文机关：天津市人民政府办公厅</w:t>
        <w:br/>
        <w:t>发文日期：2024-07-22</w:t>
        <w:br/>
        <w:t>原文链接：https://gyxxh.tj.gov.cn/ZWGK4147/ZCWJ6355/sjwj/202407/t20240722_6681036.html</w:t>
      </w:r>
    </w:p>
    <w:p>
      <w:pPr>
        <w:ind w:left="240"/>
      </w:pPr>
      <w:r>
        <w:t>统筹通用、智能、超级算力布局，打造京津冀算力产业高地。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《关于推动互联网基础资源高质量发展的指导意见政策解读》</w:t>
      </w:r>
    </w:p>
    <w:p>
      <w:r>
        <w:rPr>
          <w:color w:val="646464"/>
          <w:sz w:val="20"/>
        </w:rPr>
        <w:t>文　　号：暂无</w:t>
        <w:br/>
        <w:t>发文机关：天津市工业和信息化局</w:t>
        <w:br/>
        <w:t>发文日期：2026-07-13</w:t>
      </w:r>
    </w:p>
    <w:p>
      <w:pPr>
        <w:ind w:left="240"/>
      </w:pPr>
      <w:r>
        <w:t>解读四部门指导意见，强调基础资源对数字经济底座支撑作用。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部署五年数字乡村建设，推进乡村数字基础设施与数据要素融合。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统筹互联网基础资源规划，强化域名、IP地址等资源管理与安全保障。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发文日期：2026-02-03</w:t>
      </w:r>
    </w:p>
    <w:p>
      <w:pPr>
        <w:ind w:left="240"/>
      </w:pPr>
      <w:r>
        <w:t>明确汽车数据出境安全评估流程与合规要求，规范跨境数据传输。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拟对大型个人信息处理者设定专门保护义务与合规管理要求。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  <w:br/>
        <w:t>原文链接：https://www.cac.gov.cn/wxzw/sjzl/A093708index_1.htm</w:t>
      </w:r>
    </w:p>
    <w:p>
      <w:pPr>
        <w:ind w:left="240"/>
      </w:pPr>
      <w:r>
        <w:t>通报个人信息保护专项行动进展，查处违规收集使用行为。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以问答形式明确数据出境安全评估、标准合同等适用规则。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《关于推动互联网基础资源高质量发展的指导意见政策解读》</w:t>
      </w:r>
    </w:p>
    <w:p>
      <w:r>
        <w:rPr>
          <w:color w:val="646464"/>
          <w:sz w:val="20"/>
        </w:rPr>
        <w:t>文　　号：暂无</w:t>
        <w:br/>
        <w:t>发文机关：天津市工业和信息化局</w:t>
        <w:br/>
        <w:t>发文日期：2026-07-13</w:t>
      </w:r>
    </w:p>
    <w:p>
      <w:pPr>
        <w:ind w:left="240"/>
      </w:pPr>
      <w:r>
        <w:t>解读四部门指导意见，强调基础资源对数字经济底座支撑作用。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《省政协十三届三次会议第678号提案答复（算力平台建设）》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支持之江人工智能公共算力平台建设万卡集群，提供普惠算力。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2026年8月发布《大型个人信息处理者个人信息保护规定（征求意见稿）》，拟对超大规模平台设定专门合规义务；同期“2026年个人信息保护系列专项行动”通报阶段性成效。逻辑：监管从“普遍适用”转向“分级分类”，以规模为标准识别高风险主体，降低执法成本、提高合规激励。研判：正式稿可能引入独立合规负责人、定期审计等要求，大型平台需提前建立数据保护影响评估台账，中小平台则面临被“标杆合规”倒逼升级的压力。</w:t>
      </w:r>
    </w:p>
    <w:p>
      <w:r>
        <w:rPr>
          <w:b/>
          <w:color w:val="5B6DE4"/>
        </w:rPr>
        <w:t xml:space="preserve">②  </w:t>
      </w:r>
      <w:r>
        <w:t>现象：工信部等四部门2026年7月联合印发《关于推动互联网基础资源高质量发展的指导意见》，统筹域名、IP地址等基础资源规划。逻辑：互联网基础资源是算力调度、数据流通的底层寻址体系，此前管理分散于多部门，难以支撑“东数西算”跨域调度。研判：后续可能配套建设国家级基础资源监测平台，并推动IPv6与算力网络标识解析融合，地方数据局需对接资源目录，避免重复建设。</w:t>
      </w:r>
    </w:p>
    <w:p>
      <w:r>
        <w:rPr>
          <w:b/>
          <w:color w:val="5B6DE4"/>
        </w:rPr>
        <w:t xml:space="preserve">③  </w:t>
      </w:r>
      <w:r>
        <w:t>现象：浙江省发改委2026年6月答复政协提案，明确支持之江人工智能公共算力平台建设万卡级混合计算集群，以开放普惠方式提供普惠算力。逻辑：地方算力政策从“建枢纽”转向“用算力”，通过公共平台降低中小企业大模型训练门槛，缓解算力供需错配。研判：普惠算力定价机制与算力券模式将成为下一阶段竞争焦点，需警惕地方平台重复投资与利用率不足，建议建立跨省算力调度结算规则。</w:t>
      </w:r>
    </w:p>
    <w:p>
      <w:r>
        <w:rPr>
          <w:b/>
          <w:color w:val="5B6DE4"/>
        </w:rPr>
        <w:t xml:space="preserve">④  </w:t>
      </w:r>
      <w:r>
        <w:t>现象：八部门2026年2月发布《汽车数据出境安全指引（2026版）》，明确汽车数据出境评估流程；网信办7月发布数据出境政策问答。逻辑：智能网联汽车产生大量地理、人脸等敏感数据，出境需求与安全底线冲突突出，监管以行业为切口细化数据跨境规则。研判：汽车行业有望成为数据跨境“负面清单+安全评估”的试验田，后续可能向医疗、金融延伸，企业需建立数据分类分级与出境自评估双轨机制。</w:t>
      </w:r>
    </w:p>
    <w:p>
      <w:r>
        <w:rPr>
          <w:b/>
          <w:color w:val="5B6DE4"/>
        </w:rPr>
        <w:t xml:space="preserve">⑤  </w:t>
      </w:r>
      <w:r>
        <w:t>现象：中央网信办2026年9月发布《数字乡村高质量发展行动计划（2026—2030年）》，将数字乡村纳入五年周期部署。逻辑：数字中国建设从城市向乡村延伸，以数字基础设施弥合城乡数据要素鸿沟，同时为数据要素市场提供农村场景。研判：政策落地关键在县级数据平台与运营主体，需防范“重建设轻运营”，建议将数字乡村指标纳入地方数字经济考核，并探索农业数据确权试点。</w:t>
      </w:r>
    </w:p>
    <w:p>
      <w:r>
        <w:rPr>
          <w:b/>
          <w:color w:val="5B6DE4"/>
        </w:rPr>
        <w:t xml:space="preserve">⑥  </w:t>
      </w:r>
      <w:r>
        <w:t>现象：中国2026年以《汽车数据出境安全指引》和《大型个人信息处理者规定》细化行业合规，欧盟AI法案进入分阶段实施、EDPB持续强化GDPR执法，美国则侧重NIST框架与行政令下的安全评估。逻辑：三方均从“原则立法”转向“可操作合规工具”，但中国偏重事前评估与分级分类，欧盟偏重风险分级与市场准入，美国偏重标准与自愿框架。研判：跨境数据流动互认将成为下一轮博弈焦点，中国企业出海需同时准备中国出境评估与欧盟AI合规文档，建议提前布局双重合规映射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