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生成日期：2026-09-23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《关于对派拓公司在华销售产品启动网络安全审查的公告》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发文日期：2026-09-20</w:t>
        <w:br/>
        <w:t>原文链接：https://www.cac.gov.cn/wxzw/A0937index_1.htm</w:t>
      </w:r>
    </w:p>
    <w:p>
      <w:pPr>
        <w:ind w:left="240"/>
      </w:pPr>
      <w:r>
        <w:t>对派拓在华销售产品启动网络安全审查，防范供应链安全风险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《数据出境安全管理政策法规问答（2026年9月）》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发文日期：2026-09-11</w:t>
        <w:br/>
        <w:t>原文链接：https://www.cac.gov.cn/wxzw/A0937index_1.htm</w:t>
      </w:r>
    </w:p>
    <w:p>
      <w:pPr>
        <w:ind w:left="240"/>
      </w:pPr>
      <w:r>
        <w:t>以问答形式解读数据出境安全评估、标准合同等合规要点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《中方关于深化中国—东盟数字治理合作的倡议》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发文日期：2026-09-16</w:t>
        <w:br/>
        <w:t>原文链接：https://wap.cac.gov.cn/phoneindex.htm?defaultIndex=1</w:t>
      </w:r>
    </w:p>
    <w:p>
      <w:pPr>
        <w:ind w:left="240"/>
      </w:pPr>
      <w:r>
        <w:t>提出深化中国东盟数字治理合作，涵盖数据跨境与AI治理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《中文互联网基础语料4.0等三类高质量数据集正式发布》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发文日期：2026-09-16</w:t>
        <w:br/>
        <w:t>原文链接：https://wap.cac.gov.cn/phoneindex.htm?defaultIndex=1</w:t>
      </w:r>
    </w:p>
    <w:p>
      <w:pPr>
        <w:ind w:left="240"/>
      </w:pPr>
      <w:r>
        <w:t>发布中文互联网基础语料4.0等高质量数据集，支撑大模型训练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《2026年人工智能技术安全治理相关成果发布》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发文日期：2026-09-16</w:t>
        <w:br/>
        <w:t>原文链接：https://wap.cac.gov.cn/phoneindex.htm?defaultIndex=1</w:t>
      </w:r>
    </w:p>
    <w:p>
      <w:pPr>
        <w:ind w:left="240"/>
      </w:pPr>
      <w:r>
        <w:t>发布人工智能技术安全治理成果，强化AI安全风险防范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《2026年国家网络安全宣传周活动》</w:t>
      </w:r>
    </w:p>
    <w:p>
      <w:r>
        <w:rPr>
          <w:color w:val="646464"/>
          <w:sz w:val="20"/>
        </w:rPr>
        <w:t>文　　号：暂无</w:t>
        <w:br/>
        <w:t>发文机关：中央宣传部、中央网信办等十部门</w:t>
        <w:br/>
        <w:t>发文日期：2026-09-14</w:t>
        <w:br/>
        <w:t>原文链接：http://jx.people.com.cn/n2/2026/0902/c186330-41684309.html</w:t>
      </w:r>
    </w:p>
    <w:p>
      <w:pPr>
        <w:ind w:left="240"/>
      </w:pPr>
      <w:r>
        <w:t>十部门联合开展网络安全宣传周，聚焦技术高峰论坛与全民科普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《关于30款App个人信息收集使用问题的通报》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发文日期：2026-09-20</w:t>
        <w:br/>
        <w:t>原文链接：https://www.cac.gov.cn/wxzw/A0937index_1.htm</w:t>
      </w:r>
    </w:p>
    <w:p>
      <w:pPr>
        <w:ind w:left="240"/>
      </w:pPr>
      <w:r>
        <w:t>通报30款App违规收集使用个人信息问题，督促整改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《国家网信办将在2026年APEC数字周期间举办系列活动》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发文日期：2026-09-16</w:t>
        <w:br/>
        <w:t>原文链接：https://wap.cac.gov.cn/phoneindex.htm?defaultIndex=1</w:t>
      </w:r>
    </w:p>
    <w:p>
      <w:pPr>
        <w:ind w:left="240"/>
      </w:pPr>
      <w:r>
        <w:t>借APEC数字周平台推动数字治理国际合作与规则对接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《人工智能+软件专项行动实施方案》</w:t>
      </w:r>
    </w:p>
    <w:p>
      <w:r>
        <w:rPr>
          <w:color w:val="646464"/>
          <w:sz w:val="20"/>
        </w:rPr>
        <w:t>文　　号：工信部信发〔2026〕209号</w:t>
        <w:br/>
        <w:t>发文机关：工业和信息化部</w:t>
        <w:br/>
        <w:t>发文日期：2026-09-02</w:t>
        <w:br/>
        <w:t>原文链接：https://www.miit.gov.cn/search/zcwjk.html?websiteid=110000000000000&amp;tpl=14&amp;category=183</w:t>
      </w:r>
    </w:p>
    <w:p>
      <w:pPr>
        <w:ind w:left="240"/>
      </w:pPr>
      <w:r>
        <w:t>推动人工智能与软件产业深度融合，部署专项行动任务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《智能网联新能源汽车产业发展十五五规划》</w:t>
      </w:r>
    </w:p>
    <w:p>
      <w:r>
        <w:rPr>
          <w:color w:val="646464"/>
          <w:sz w:val="20"/>
        </w:rPr>
        <w:t>文　　号：暂无</w:t>
        <w:br/>
        <w:t>发文机关：工业和信息化部等九部门</w:t>
        <w:br/>
        <w:t>发文日期：2026-09-11</w:t>
        <w:br/>
        <w:t>原文链接：https://www.miit.gov.cn/search/zcwjk.html?websiteid=110000000000000&amp;tpl=14&amp;category=183</w:t>
      </w:r>
    </w:p>
    <w:p>
      <w:pPr>
        <w:ind w:left="240"/>
      </w:pPr>
      <w:r>
        <w:t>九部门联合印发智能网联新能源汽车十五五规划，部署产业目标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《人工智能安全治理框架3.0》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发文日期：2026-09-01</w:t>
        <w:br/>
        <w:t>原文链接：https://www.cac.gov.cn/cms/pub/interact/downloadfile.jsp?filepath=ZBWvETi1XzcBKtOIkqelkFNfnsiqRz/RVoObc/v/uk8HfA7qN3VpXTSitEFyvFWXTzuPjjARmklnQb/fGcH5CjEjTcORl73kmCTdYOvdSjs=&amp;fText=%E4%BA%BA%E5%B7%A5%E6%99%BA%E8%83%BD%E5%AE%89%E5%85%A8%E6%B2%BB%E7%90%86%E6%A1%86%E6%9E%B63.0</w:t>
      </w:r>
    </w:p>
    <w:p>
      <w:pPr>
        <w:ind w:left="240"/>
      </w:pPr>
      <w:r>
        <w:t>升级AI安全治理框架，强调AI始终处于人类控制之下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9月密集发布数据出境安全管理问答、AI安全治理框架3.0、高质量数据集等成果，并启动对派拓在华产品的网络安全审查。逻辑：这一系列动作表明监管正从单一合规审批转向全链条治理，既通过数据集开放降低大模型训练门槛，又通过安全审查守住供应链底线，体现发展与安全并重的制度设计。研判：预计四季度将出台更细化的AI训练数据合规指引和跨境数据流动白名单，企业需提前建立数据分类分级与供应链安全评估机制。</w:t>
      </w:r>
    </w:p>
    <w:p>
      <w:r>
        <w:rPr>
          <w:b/>
          <w:color w:val="5B6DE4"/>
        </w:rPr>
        <w:t xml:space="preserve">②  </w:t>
      </w:r>
      <w:r>
        <w:t>现象：工信部9月2日印发人工智能+软件专项行动实施方案，此前国务院已发布人工智能+行动意见，人社部、盐城、荆州等地陆续跟进配套。逻辑：政策重心正从顶层设计转向行业落地，通过部委专项+地方行动的组合拳，推动AI从通用能力向制造、就业、政务等垂直场景渗透。研判：下一阶段将出现更多行业级AI应用标准与评估规范，地方竞争焦点将从算力补贴转向场景开放与数据供给，需警惕重复建设与低水平同质化。</w:t>
      </w:r>
    </w:p>
    <w:p>
      <w:r>
        <w:rPr>
          <w:b/>
          <w:color w:val="5B6DE4"/>
        </w:rPr>
        <w:t xml:space="preserve">③  </w:t>
      </w:r>
      <w:r>
        <w:t>现象：浙江、安徽、苏州等地密集开展算力券兑付与补贴申报，浙江明确使用超长期特别国债资金，苏州按算力租用费30%补贴。逻辑：算力券作为财政工具，旨在降低中小企业智能算力使用成本，打通算力供给侧与需求侧循环，同时引导算力资源向国家枢纽节点集聚。研判：算力券模式将向更多省份推广，但需关注补贴退坡后的市场自生能力，以及算力供需匹配效率与绿色低碳约束之间的平衡。</w:t>
      </w:r>
    </w:p>
    <w:p>
      <w:r>
        <w:rPr>
          <w:b/>
          <w:color w:val="5B6DE4"/>
        </w:rPr>
        <w:t xml:space="preserve">④  </w:t>
      </w:r>
      <w:r>
        <w:t>现象：2026年国家网络安全宣传周9月14日至20日举行，十部门联合开展，同期网信办通报30款App个人信息问题、约谈火车票销售平台。逻辑：网络安全治理正从年度集中宣传转向常态化执法，个人信息保护与平台合规成为高频监管抓手，体现以案促改、以宣促建的治理思路。研判：App违规收集使用个人信息的通报将更加频繁，平台经济领域算法与数据合规审查力度加大，企业应建立常态化合规审计机制。</w:t>
      </w:r>
    </w:p>
    <w:p>
      <w:r>
        <w:rPr>
          <w:b/>
          <w:color w:val="5B6DE4"/>
        </w:rPr>
        <w:t xml:space="preserve">⑤  </w:t>
      </w:r>
      <w:r>
        <w:t>现象：国家网信办将在APEC数字周举办系列活动，并发布深化中国—东盟数字治理合作倡议，推动中文语料与AI治理成果国际化。逻辑：中国正主动参与全球数字规则制定，以数据跨境、AI安全、数字普惠为切入点，构建区别于欧美模式的数字治理话语权。研判：未来中国将在多边框架下推动数据跨境互认与AI安全标准输出，但需应对欧美在价值观与规则上的竞争，企业出海需关注区域规则差异。</w:t>
      </w:r>
    </w:p>
    <w:p>
      <w:r>
        <w:rPr>
          <w:b/>
          <w:color w:val="5B6DE4"/>
        </w:rPr>
        <w:t xml:space="preserve">⑥  </w:t>
      </w:r>
      <w:r>
        <w:t>现象：欧盟持续推进AI Act与GDPR落地，美国以行政令和NIST框架引导AI安全，日本数字厅推动AI与数据治理。中国则以AI安全治理框架3.0、数据出境规定和算力券等组合应对。逻辑：欧美侧重风险分级与权利保护，中国更强调发展与安全平衡及产业赋能，日本聚焦社会应用与数据流通。研判：全球AI治理呈碎片化，中国应加强与国际标准对接，推动互认机制，降低企业跨境合规成本，同时保持产业政策灵活性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