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发文日期：2026-08-20</w:t>
      </w:r>
    </w:p>
    <w:p>
      <w:pPr>
        <w:ind w:left="240"/>
      </w:pPr>
      <w:r>
        <w:t>三部门联合公布，自2026年8月20日起施行，落实数据安全法。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发布最新个人信息保护政策法规问答，指导企业合规实践。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《生成式人工智能服务已备案信息公告（2026年5月至6月）》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公布最新一批生成式AI服务备案信息，强化大模型合规监管。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《实施网络安全标识的产品目录（第一批）及相关实施规则》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发布首批网络安全标识产品目录及实施规则，规范安全产品市场。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《2026年上半年工业和信息化发展情况新闻发布会》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发文日期：2026-07-20</w:t>
        <w:br/>
        <w:t>原文链接：http://www.scio.gov.cn/live/2026/39042/tw/index.html</w:t>
      </w:r>
    </w:p>
    <w:p>
      <w:pPr>
        <w:ind w:left="240"/>
      </w:pPr>
      <w:r>
        <w:t>介绍上半年工业与信息化发展，提及信息通信服务提升与5G进展。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针对大型平台个人信息保护提出更严格合规要求，公开征求意见。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解答数据出境安全评估、标准合同等合规要点，指导企业操作。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《中国个人信息保护报告（2025年）》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发文日期：2026-07-01</w:t>
        <w:br/>
        <w:t>原文链接：https://www.cac.gov.cn/wxzw/sjzl/A093708index_1.htm</w:t>
      </w:r>
    </w:p>
    <w:p>
      <w:pPr>
        <w:ind w:left="240"/>
      </w:pPr>
      <w:r>
        <w:t>发布年度报告，总结个人信息保护实践与成效，展望未来方向。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发文日期：2026-06-22</w:t>
        <w:br/>
        <w:t>原文链接：http://jx.people.com.cn/BIG5/n2/2026/0622/c186330-41616984.html</w:t>
      </w:r>
    </w:p>
    <w:p>
      <w:pPr>
        <w:ind w:left="240"/>
      </w:pPr>
      <w:r>
        <w:t>三部门联合公布，建立网络数据安全风险评估机制。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《网络数据安全风险评估办法》于8月20日正式施行，标志着我国数据安全治理从原则性立法走向精细化操作。该办法明确风险评估的对象、流程与频次，将数据安全法中的抽象义务转化为具体合规动作。其逻辑在于，监管部门试图通过常态化评估机制，将安全审查嵌入企业业务全生命周期，而非事后追责。研判：下一步，网信办可能配套发布行业实施细则与评估指引，大型平台企业将率先面临合规压力，第三方评估机构市场将迎来快速增长。</w:t>
      </w:r>
    </w:p>
    <w:p>
      <w:r>
        <w:rPr>
          <w:b/>
          <w:color w:val="5B6DE4"/>
        </w:rPr>
        <w:t xml:space="preserve">②  </w:t>
      </w:r>
      <w:r>
        <w:t>趋势2（安全合规）：网信办8月7日就《大型个人信息处理者个人信息保护规定》征求意见，直指头部平台。该规定若落地，将对用户画像、自动化决策、跨平台数据共享等行为施加更严格限制。其逻辑在于，个人信息保护法实施数年后，监管重心从普遍合规转向针对超级平台的差异化监管，以应对算法滥用与数据垄断风险。研判：规定正式出台后，大型互联网企业需重构数据治理架构，算法备案与审计将成为常态，合规成本显著上升。</w:t>
      </w:r>
    </w:p>
    <w:p>
      <w:r>
        <w:rPr>
          <w:b/>
          <w:color w:val="5B6DE4"/>
        </w:rPr>
        <w:t xml:space="preserve">③  </w:t>
      </w:r>
      <w:r>
        <w:t>趋势3（产业影响）：工信部二季度电信服务通告显示线上业务办理量占比超91%，数字政府与信息通信服务深度融合加速。这一现象背后是数字中国战略的持续推进，政务与公共服务全面上云，倒逼基础设施升级与服务流程再造。研判：随着5G-A与算力网络部署深化，中西部地区数字基础设施投资将保持高位，数字政府建设或向县域下沉，相关IT服务与云计算市场持续扩容。</w:t>
      </w:r>
    </w:p>
    <w:p>
      <w:r>
        <w:rPr>
          <w:b/>
          <w:color w:val="5B6DE4"/>
        </w:rPr>
        <w:t xml:space="preserve">④  </w:t>
      </w:r>
      <w:r>
        <w:t>趋势4（技术路线）：生成式AI服务备案信息定期公告（5-6月批次）显示，我国大模型监管已进入常态化、清单化阶段。备案制而非审批制的选择，体现了在安全与发展间寻求平衡的政策取向——既守住底线，又为技术创新留出空间。研判：随着备案大模型数量增加，监管重点将从入口审核转向运行监测，AI生成内容标识、深度合成检测等技术需求将爆发，推动AI治理工具链成熟。</w:t>
      </w:r>
    </w:p>
    <w:p>
      <w:r>
        <w:rPr>
          <w:b/>
          <w:color w:val="5B6DE4"/>
        </w:rPr>
        <w:t xml:space="preserve">⑤  </w:t>
      </w:r>
      <w:r>
        <w:t>趋势5（区域格局）：汽车数据出境安全指引由工信部等八部门联合印发，且地方（如天津）积极转发落实，显示数据跨境流动监管在垂直行业率先突破。汽车行业因涉及地理信息、个人位置等敏感数据，成为监管先行区。其逻辑是，在数据出境安全评估、标准合同等通用制度基础上，针对重点行业制定细化规则，降低合规不确定性。研判：下一步金融、医疗等行业数据出境指引有望陆续出台，长三角、珠三角等汽车产业集聚区将率先形成合规实践样本。</w:t>
      </w:r>
    </w:p>
    <w:p>
      <w:r>
        <w:rPr>
          <w:b/>
          <w:color w:val="5B6DE4"/>
        </w:rPr>
        <w:t xml:space="preserve">⑥  </w:t>
      </w:r>
      <w:r>
        <w:t>趋势6（国际比较）：与美国拜登政府2023年AI行政令侧重联邦采购与安全测试、欧盟AI法案按风险分级禁限结合不同，中国当前路径是“行业试点+备案管理+持续评估”。美国近期政策因政府更迭存在不确定性，欧盟AI法案部分条款推迟实施，而中国通过《网络数据安全风险评估办法》与生成式AI备案制，已形成可执行的监管闭环。启示在于：中国模式强调事前备案与事中评估结合，执行效率较高，但企业合规负担较重；欧盟模式注重权利保护，但落地节奏偏慢；美国模式依赖行业自律，安全漏洞渐显。三种路径各有利弊，中国需在监管密度与创新活力间持续校准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