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生成日期：2026-07-09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《广西规上工业企业数智化转型工作指引（2026版）》</w:t>
      </w:r>
    </w:p>
    <w:p>
      <w:r>
        <w:rPr>
          <w:color w:val="646464"/>
          <w:sz w:val="20"/>
        </w:rPr>
        <w:t>文　　号：暂无</w:t>
        <w:br/>
        <w:t>发文机关：广西壮族自治区工业和信息化厅</w:t>
        <w:br/>
        <w:t>发文日期：2026-06-30</w:t>
      </w:r>
    </w:p>
    <w:p>
      <w:pPr>
        <w:ind w:left="240"/>
      </w:pPr>
      <w:r>
        <w:t>推动广西规上工业企业智能工厂规模化建设与数智化转型全域覆盖。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发文机关：国家网信办等五部门</w:t>
        <w:br/>
        <w:t>发文日期：2026-06-08</w:t>
        <w:br/>
        <w:t>原文链接：https://www.cac.gov.cn/wxzw/wxfb/A093702index_1.htm</w:t>
      </w:r>
    </w:p>
    <w:p>
      <w:pPr>
        <w:ind w:left="240"/>
      </w:pPr>
      <w:r>
        <w:t>规范互联网信息内容多渠道分发服务，加强内容安全管理。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部署年度重点任务，提升全民数字素养与技能水平。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《促进平台经济大中小企业协同发展行动方案（2026—2028年）》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发文日期：2026-06-18</w:t>
        <w:br/>
        <w:t>原文链接：https://www.miit.gov.cn/xbymdz/zwgk/index.html</w:t>
      </w:r>
    </w:p>
    <w:p>
      <w:pPr>
        <w:ind w:left="240"/>
      </w:pPr>
      <w:r>
        <w:t>推动平台经济领域大中小企业融通创新与协同发展。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发文机关：国家网信办、工业和信息化部、公安部</w:t>
        <w:br/>
        <w:t>发文日期：2026-06-18</w:t>
        <w:br/>
        <w:t>原文链接：https://weibo.com/ttarticle/p/show?id=2309405315921706352708</w:t>
      </w:r>
    </w:p>
    <w:p>
      <w:pPr>
        <w:ind w:left="240"/>
      </w:pPr>
      <w:r>
        <w:t>规定重要数据每年、一般数据每三年开展一次风险评估，8月20日施行。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《深圳市2026年企业技术改造传统优势产业数字化转型项目申报》</w:t>
      </w:r>
    </w:p>
    <w:p>
      <w:r>
        <w:rPr>
          <w:color w:val="646464"/>
          <w:sz w:val="20"/>
        </w:rPr>
        <w:t>文　　号：暂无</w:t>
        <w:br/>
        <w:t>发文机关：深圳市工业和信息化局</w:t>
        <w:br/>
        <w:t>发文日期：2026-02-09</w:t>
        <w:br/>
        <w:t>原文链接：http://www.sz.gov.cn/szzt2010/wgkzl/jcgk/jcygk/zdzcjc/content/post_12639381.html</w:t>
      </w:r>
    </w:p>
    <w:p>
      <w:pPr>
        <w:ind w:left="240"/>
      </w:pPr>
      <w:r>
        <w:t>支持传统优势产业数字化转型，企业可申报技术改造项目扶持。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《数字赋能基层减负典型案例名单》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发文日期：2026-02-24</w:t>
        <w:br/>
        <w:t>原文链接：https://wap.miit.gov.cn/jgsj/xxjsfzs/wjfb/</w:t>
      </w:r>
    </w:p>
    <w:p>
      <w:pPr>
        <w:ind w:left="240"/>
      </w:pPr>
      <w:r>
        <w:t>推广数字技术赋能基层减负的典型经验与案例。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6月国家网信办等三部门联合发布《网络数据安全风险评估办法》，明确重要数据年度评估机制。逻辑：该办法将《数据安全法》中原则性要求转化为可操作的定期评估制度，填补了重要数据安全状态动态监测的规则空白，反映出监管从“静态合规”向“动态风险管控”的转变。研判：预计后续会配套出台评估机构资质认定细则，推动形成第三方评估市场，企业数据安全合规成本将结构性上升，但有助于建立数据流通信任基础。</w:t>
      </w:r>
    </w:p>
    <w:p>
      <w:r>
        <w:rPr>
          <w:b/>
          <w:color w:val="5B6DE4"/>
        </w:rPr>
        <w:t xml:space="preserve">②  </w:t>
      </w:r>
      <w:r>
        <w:t>现象：《人工智能拟人化互动服务管理暂行办法》将于2026年7月15日正式施行，这是全球首部专门针对AI拟人化交互的监管规章。逻辑：生成式AI在社交、客服、教育等场景的拟人化应用引发伦理与安全担忧，该办法通过设置服务提供者责任、用户知情同意、内容标识等义务，将治理关口前移至服务设计环节。研判：该办法可能成为我国AI监管的“样板间”，后续或拓展至更多AI应用场景，并推动行业自律标准快速出台。</w:t>
      </w:r>
    </w:p>
    <w:p>
      <w:r>
        <w:rPr>
          <w:b/>
          <w:color w:val="5B6DE4"/>
        </w:rPr>
        <w:t xml:space="preserve">③  </w:t>
      </w:r>
      <w:r>
        <w:t>现象：天津、青岛、贵阳等多地密集发布2024-2026年算力与AI产业规划，均将智能算力作为核心增长极。逻辑：各地抢抓“东数西算”与AI大模型机遇，通过政策引导算力结构从通用向智能倾斜，旨在形成区域差异化竞争优势（如天津侧重京津冀协同、青岛聚焦海洋大模型）。研判：地方算力建设存在重复投资风险，未来国家层面可能出台算力资源统筹调度与评价机制，防止低效产能过剩，推动全国算力“一张网”落地。</w:t>
      </w:r>
    </w:p>
    <w:p>
      <w:r>
        <w:rPr>
          <w:b/>
          <w:color w:val="5B6DE4"/>
        </w:rPr>
        <w:t xml:space="preserve">④  </w:t>
      </w:r>
      <w:r>
        <w:t>现象：工信部先后印发《推动工业互联网平台高质量发展行动方案（2026—2028年）》和《促进平台经济大中小企业协同发展行动方案》。逻辑：工业互联网已从概念普及进入深水区，政策重心转向“平台+中小企业”生态构建，通过大企业建平台、中小企业用平台，解决数字化转型“不敢转、不会转”难题。研判：未来两年将出现一批行业级工业互联网平台整合案例，平台间互联互通标准有望加速制定，数据跨平台流通壁垒或成下一阶段政策攻坚重点。</w:t>
      </w:r>
    </w:p>
    <w:p>
      <w:r>
        <w:rPr>
          <w:b/>
          <w:color w:val="5B6DE4"/>
        </w:rPr>
        <w:t xml:space="preserve">⑤  </w:t>
      </w:r>
      <w:r>
        <w:t>现象：广西、深圳、上海等地在2026年上半年密集发布数字化转型项目申报与工作指引，政策工具从“鼓励性”转向“操作性”。逻辑：数字化转型政策已从顶层设计下沉至省市执行层面，通过专项资金、项目申报、案例推广等具体抓手，降低企业转型门槛。研判：下半年更多省份将跟进出台类似操作细则，形成“国家定方向、省市出细则、园区抓落地”的三级传导体系，但需警惕地方政策碎片化导致企业跨区域合规成本增加。</w:t>
      </w:r>
    </w:p>
    <w:p>
      <w:r>
        <w:rPr>
          <w:b/>
          <w:color w:val="5B6DE4"/>
        </w:rPr>
        <w:t xml:space="preserve">⑥  </w:t>
      </w:r>
      <w:r>
        <w:t>现象（国际比较）：中国出台《人工智能拟人化互动服务管理暂行办法》，而欧盟《AI法案》侧重风险分级、美国则依赖行业自律与行政令。逻辑：中国采取“场景先行”的监管策略，针对具体应用快速立法，效率高但可能面临规则碎片化；欧盟以“风险分级”构建统一框架，体系完整但立法周期长；美国强调“轻监管促创新”，灵活性大但保护不足。研判：中国模式在AI拟人化等新兴领域具有先发优势，但需注意与国际规则衔接，未来在跨境AI服务、数据流动等领域可能出现监管冲突，多边协调机制建设迫在眉睫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