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B6DE4"/>
          <w:sz w:val="44"/>
        </w:rPr>
        <w:t>数据和信息化政策日报</w:t>
      </w:r>
    </w:p>
    <w:p>
      <w:pPr>
        <w:jc w:val="center"/>
      </w:pPr>
      <w:r>
        <w:rPr>
          <w:color w:val="828282"/>
          <w:sz w:val="22"/>
        </w:rPr>
        <w:t>生成日期：2026-10-15　　数据 · 算力 · 信息化</w:t>
      </w:r>
    </w:p>
    <w:p/>
    <w:p>
      <w:pPr>
        <w:pStyle w:val="Heading1"/>
      </w:pPr>
      <w:r>
        <w:rPr>
          <w:color w:val="5B6DE4"/>
          <w:sz w:val="28"/>
        </w:rPr>
        <w:t>一、过去 24 小时关键政策</w:t>
      </w:r>
    </w:p>
    <w:p/>
    <w:p>
      <w:pPr>
        <w:pStyle w:val="Heading1"/>
      </w:pPr>
      <w:r>
        <w:rPr>
          <w:color w:val="5B6DE4"/>
          <w:sz w:val="28"/>
        </w:rPr>
        <w:t>二、过去一个月主要政策动向</w:t>
      </w:r>
    </w:p>
    <w:p>
      <w:r>
        <w:rPr>
          <w:b/>
          <w:sz w:val="24"/>
        </w:rPr>
        <w:t>《促进数字化绿色化协同转型发展实施方案（2026-2030年）》</w:t>
      </w:r>
    </w:p>
    <w:p>
      <w:r>
        <w:rPr>
          <w:color w:val="646464"/>
          <w:sz w:val="20"/>
        </w:rPr>
        <w:t>文　　号：暂无</w:t>
        <w:br/>
        <w:t>发文机关：中央网络安全和信息化委员会办公室</w:t>
        <w:br/>
        <w:t>发文日期：2026-09-04</w:t>
        <w:br/>
        <w:t>原文链接：https://www.cac.gov.cn/wxzw/zcfg/zcwj/A09370306index_1.htm</w:t>
      </w:r>
    </w:p>
    <w:p>
      <w:pPr>
        <w:ind w:left="240"/>
      </w:pPr>
      <w:r>
        <w:t>部署数字化与绿色化协同转型，明确未来五年双化协同路径与重点任务。</w:t>
      </w:r>
    </w:p>
    <w:p>
      <w:pPr>
        <w:spacing w:before="0" w:after="80"/>
        <w:pBdr>
          <w:bottom w:val="single" w:sz="4" w:space="1" w:color="DDDDDD"/>
        </w:pBdr>
      </w:pPr>
    </w:p>
    <w:p>
      <w:r>
        <w:rPr>
          <w:b/>
          <w:sz w:val="24"/>
        </w:rPr>
        <w:t>《2026年个人信息保护系列专项行动取得阶段性成效》</w:t>
      </w:r>
    </w:p>
    <w:p>
      <w:r>
        <w:rPr>
          <w:color w:val="646464"/>
          <w:sz w:val="20"/>
        </w:rPr>
        <w:t>文　　号：暂无</w:t>
        <w:br/>
        <w:t>发文机关：国家互联网信息办公室</w:t>
        <w:br/>
        <w:t>发文日期：2026-08-19</w:t>
        <w:br/>
        <w:t>原文链接：https://www.cac.gov.cn/wxzw/zcfg/zcwj/A09370306index_1.htm</w:t>
      </w:r>
    </w:p>
    <w:p>
      <w:pPr>
        <w:ind w:left="240"/>
      </w:pPr>
      <w:r>
        <w:t>通报个人信息保护系列专项行动阶段性成果，持续强化违规采集整治。</w:t>
      </w:r>
    </w:p>
    <w:p>
      <w:pPr>
        <w:spacing w:before="0" w:after="80"/>
        <w:pBdr>
          <w:bottom w:val="single" w:sz="4" w:space="1" w:color="DDDDDD"/>
        </w:pBdr>
      </w:pPr>
    </w:p>
    <w:p>
      <w:r>
        <w:rPr>
          <w:b/>
          <w:sz w:val="24"/>
        </w:rPr>
        <w:t>《药物临床试验电子数据指导原则》</w:t>
      </w:r>
    </w:p>
    <w:p>
      <w:r>
        <w:rPr>
          <w:color w:val="646464"/>
          <w:sz w:val="20"/>
        </w:rPr>
        <w:t>文　　号：暂无</w:t>
        <w:br/>
        <w:t>发文机关：国家药品监督管理局药品审评中心</w:t>
        <w:br/>
        <w:t>发文日期：2026-09-22</w:t>
      </w:r>
    </w:p>
    <w:p>
      <w:pPr>
        <w:ind w:left="240"/>
      </w:pPr>
      <w:r>
        <w:t>规范药物临床试验电子数据管理，引入计算机化系统与ALCOA++原则。</w:t>
      </w:r>
    </w:p>
    <w:p>
      <w:pPr>
        <w:spacing w:before="0" w:after="80"/>
        <w:pBdr>
          <w:bottom w:val="single" w:sz="4" w:space="1" w:color="DDDDDD"/>
        </w:pBdr>
      </w:pPr>
    </w:p>
    <w:p>
      <w:r>
        <w:rPr>
          <w:b/>
          <w:sz w:val="24"/>
        </w:rPr>
        <w:t>《深化互联网协议第六版（IPv6）技术创新和融合应用实施方案（2026—2030年）》</w:t>
      </w:r>
    </w:p>
    <w:p>
      <w:r>
        <w:rPr>
          <w:color w:val="646464"/>
          <w:sz w:val="20"/>
        </w:rPr>
        <w:t>文　　号：暂无</w:t>
        <w:br/>
        <w:t>发文机关：中央网络安全和信息化委员会办公室</w:t>
        <w:br/>
        <w:t>发文日期：2026-07-21</w:t>
        <w:br/>
        <w:t>原文链接：https://www.cac.gov.cn/wxzw/zcfg/zcwj/A09370306index_1.htm</w:t>
      </w:r>
    </w:p>
    <w:p>
      <w:pPr>
        <w:ind w:left="240"/>
      </w:pPr>
      <w:r>
        <w:t>推进IPv6技术创新与融合应用，明确2026至2030年部署目标与重点场景。</w:t>
      </w:r>
    </w:p>
    <w:p>
      <w:pPr>
        <w:spacing w:before="0" w:after="80"/>
        <w:pBdr>
          <w:bottom w:val="single" w:sz="4" w:space="1" w:color="DDDDDD"/>
        </w:pBdr>
      </w:pPr>
    </w:p>
    <w:p>
      <w:r>
        <w:rPr>
          <w:b/>
          <w:sz w:val="24"/>
        </w:rPr>
        <w:t>《关于推动互联网基础资源高质量发展的指导意见》</w:t>
      </w:r>
    </w:p>
    <w:p>
      <w:r>
        <w:rPr>
          <w:color w:val="646464"/>
          <w:sz w:val="20"/>
        </w:rPr>
        <w:t>文　　号：暂无</w:t>
        <w:br/>
        <w:t>发文机关：工业和信息化部、中央网信办、国家发展改革委、国家数据局</w:t>
        <w:br/>
        <w:t>发文日期：2026-07-01</w:t>
      </w:r>
    </w:p>
    <w:p>
      <w:pPr>
        <w:ind w:left="240"/>
      </w:pPr>
      <w:r>
        <w:t>四部门联合发文推动互联网基础资源高质量发展，强化域名、IP等资源管理。</w:t>
      </w:r>
    </w:p>
    <w:p>
      <w:pPr>
        <w:spacing w:before="0" w:after="80"/>
        <w:pBdr>
          <w:bottom w:val="single" w:sz="4" w:space="1" w:color="DDDDDD"/>
        </w:pBdr>
      </w:pPr>
    </w:p>
    <w:p>
      <w:r>
        <w:rPr>
          <w:b/>
          <w:sz w:val="24"/>
        </w:rPr>
        <w:t>《大型个人信息处理者个人信息保护规定（征求意见稿）》</w:t>
      </w:r>
    </w:p>
    <w:p>
      <w:r>
        <w:rPr>
          <w:color w:val="646464"/>
          <w:sz w:val="20"/>
        </w:rPr>
        <w:t>文　　号：暂无</w:t>
        <w:br/>
        <w:t>发文机关：国家互联网信息办公室</w:t>
        <w:br/>
        <w:t>发文日期：2026-08-07</w:t>
        <w:br/>
        <w:t>原文链接：https://www.cac.gov.cn/wxzw/zcfg/zcwj/A09370306index_1.htm</w:t>
      </w:r>
    </w:p>
    <w:p>
      <w:pPr>
        <w:ind w:left="240"/>
      </w:pPr>
      <w:r>
        <w:t>拟对大型个人信息处理者设定专门保护义务，公开征求意见。</w:t>
      </w:r>
    </w:p>
    <w:p>
      <w:pPr>
        <w:spacing w:before="0" w:after="80"/>
        <w:pBdr>
          <w:bottom w:val="single" w:sz="4" w:space="1" w:color="DDDDDD"/>
        </w:pBdr>
      </w:pPr>
    </w:p>
    <w:p>
      <w:r>
        <w:rPr>
          <w:b/>
          <w:sz w:val="24"/>
        </w:rPr>
        <w:t>《汽车数据出境安全指引（2026版）》</w:t>
      </w:r>
    </w:p>
    <w:p>
      <w:r>
        <w:rPr>
          <w:color w:val="646464"/>
          <w:sz w:val="20"/>
        </w:rPr>
        <w:t>文　　号：暂无</w:t>
        <w:br/>
        <w:t>发文机关：工业和信息化部</w:t>
        <w:br/>
        <w:t>发文日期：2026-02-03</w:t>
      </w:r>
    </w:p>
    <w:p>
      <w:pPr>
        <w:ind w:left="240"/>
      </w:pPr>
      <w:r>
        <w:t>明确汽车数据出境安全评估要求与操作指引，规范车企跨境数据流动。</w:t>
      </w:r>
    </w:p>
    <w:p>
      <w:pPr>
        <w:spacing w:before="0" w:after="80"/>
        <w:pBdr>
          <w:bottom w:val="single" w:sz="4" w:space="1" w:color="DDDDDD"/>
        </w:pBdr>
      </w:pPr>
    </w:p>
    <w:p>
      <w:r>
        <w:rPr>
          <w:b/>
          <w:sz w:val="24"/>
        </w:rPr>
        <w:t>《关于进一步规范移动智能终端应用软件预置行为的通告》</w:t>
      </w:r>
    </w:p>
    <w:p>
      <w:r>
        <w:rPr>
          <w:color w:val="646464"/>
          <w:sz w:val="20"/>
        </w:rPr>
        <w:t>文　　号：暂无</w:t>
        <w:br/>
        <w:t>发文机关：工业和信息化部、国家互联网信息办公室</w:t>
        <w:br/>
        <w:t>发文日期：2022-12-15</w:t>
      </w:r>
    </w:p>
    <w:p>
      <w:pPr>
        <w:ind w:left="240"/>
      </w:pPr>
      <w:r>
        <w:t>规范移动智能终端预置应用软件行为，保障用户知情权和选择权。</w:t>
      </w:r>
    </w:p>
    <w:p>
      <w:pPr>
        <w:spacing w:before="0" w:after="80"/>
        <w:pBdr>
          <w:bottom w:val="single" w:sz="4" w:space="1" w:color="DDDDDD"/>
        </w:pBdr>
      </w:pPr>
    </w:p>
    <w:p/>
    <w:p>
      <w:pPr>
        <w:pStyle w:val="Heading1"/>
      </w:pPr>
      <w:r>
        <w:rPr>
          <w:color w:val="5B6DE4"/>
          <w:sz w:val="28"/>
        </w:rPr>
        <w:t>三、今年以来主要政策</w:t>
      </w:r>
    </w:p>
    <w:p>
      <w:r>
        <w:rPr>
          <w:b/>
          <w:sz w:val="24"/>
        </w:rPr>
        <w:t>《汽车数据出境安全指引（2026版）》</w:t>
      </w:r>
    </w:p>
    <w:p>
      <w:r>
        <w:rPr>
          <w:color w:val="646464"/>
          <w:sz w:val="20"/>
        </w:rPr>
        <w:t>文　　号：暂无</w:t>
        <w:br/>
        <w:t>发文机关：工业和信息化部</w:t>
        <w:br/>
        <w:t>发文日期：2026-02-03</w:t>
      </w:r>
    </w:p>
    <w:p>
      <w:pPr>
        <w:ind w:left="240"/>
      </w:pPr>
      <w:r>
        <w:t>明确汽车数据出境安全评估要求与操作指引，规范车企跨境数据流动。</w:t>
      </w:r>
    </w:p>
    <w:p>
      <w:pPr>
        <w:spacing w:before="0" w:after="80"/>
        <w:pBdr>
          <w:bottom w:val="single" w:sz="4" w:space="1" w:color="DDDDDD"/>
        </w:pBdr>
      </w:pPr>
    </w:p>
    <w:p>
      <w:r>
        <w:rPr>
          <w:b/>
          <w:sz w:val="24"/>
        </w:rPr>
        <w:t>《关于推动互联网基础资源高质量发展的指导意见》</w:t>
      </w:r>
    </w:p>
    <w:p>
      <w:r>
        <w:rPr>
          <w:color w:val="646464"/>
          <w:sz w:val="20"/>
        </w:rPr>
        <w:t>文　　号：暂无</w:t>
        <w:br/>
        <w:t>发文机关：工业和信息化部、中央网信办、国家发展改革委、国家数据局</w:t>
        <w:br/>
        <w:t>发文日期：2026-07-01</w:t>
      </w:r>
    </w:p>
    <w:p>
      <w:pPr>
        <w:ind w:left="240"/>
      </w:pPr>
      <w:r>
        <w:t>四部门联合发文推动互联网基础资源高质量发展，强化域名、IP等资源管理。</w:t>
      </w:r>
    </w:p>
    <w:p>
      <w:pPr>
        <w:spacing w:before="0" w:after="80"/>
        <w:pBdr>
          <w:bottom w:val="single" w:sz="4" w:space="1" w:color="DDDDDD"/>
        </w:pBdr>
      </w:pPr>
    </w:p>
    <w:p>
      <w:r>
        <w:rPr>
          <w:b/>
          <w:sz w:val="24"/>
        </w:rPr>
        <w:t>《浙江省支持之江人工智能公共算力开放创新平台建设》</w:t>
      </w:r>
    </w:p>
    <w:p>
      <w:r>
        <w:rPr>
          <w:color w:val="646464"/>
          <w:sz w:val="20"/>
        </w:rPr>
        <w:t>文　　号：暂无</w:t>
        <w:br/>
        <w:t>发文机关：浙江省发展和改革委员会</w:t>
        <w:br/>
        <w:t>发文日期：2026-06-25</w:t>
      </w:r>
    </w:p>
    <w:p>
      <w:pPr>
        <w:ind w:left="240"/>
      </w:pPr>
      <w:r>
        <w:t>浙江支持建设万卡级混合算力集群，以开放普惠方式提供AI算力。</w:t>
      </w:r>
    </w:p>
    <w:p>
      <w:pPr>
        <w:spacing w:before="0" w:after="80"/>
        <w:pBdr>
          <w:bottom w:val="single" w:sz="4" w:space="1" w:color="DDDDDD"/>
        </w:pBdr>
      </w:pPr>
    </w:p>
    <w:p>
      <w:r>
        <w:rPr>
          <w:b/>
          <w:sz w:val="24"/>
        </w:rPr>
        <w:t>《2026年中国AI发展趋势前瞻》</w:t>
      </w:r>
    </w:p>
    <w:p>
      <w:r>
        <w:rPr>
          <w:color w:val="646464"/>
          <w:sz w:val="20"/>
        </w:rPr>
        <w:t>文　　号：暂无</w:t>
        <w:br/>
        <w:t>发文机关：新华深读</w:t>
        <w:br/>
        <w:t>发文日期：2026-01-28</w:t>
        <w:br/>
        <w:t>原文链接：https://igz.gzwxb.gov.cn/context/contextId/215009</w:t>
      </w:r>
    </w:p>
    <w:p>
      <w:pPr>
        <w:ind w:left="240"/>
      </w:pPr>
      <w:r>
        <w:t>分析2026年中国AI发展趋势，指出数据孤岛与流通壁垒等核心挑战。</w:t>
      </w:r>
    </w:p>
    <w:p>
      <w:pPr>
        <w:spacing w:before="0" w:after="80"/>
        <w:pBdr>
          <w:bottom w:val="single" w:sz="4" w:space="1" w:color="DDDDDD"/>
        </w:pBdr>
      </w:pPr>
    </w:p>
    <w:p>
      <w:r>
        <w:rPr>
          <w:b/>
          <w:sz w:val="24"/>
        </w:rPr>
        <w:t>《数据安全和个人信息保护政策法规宣讲会（广东站）》</w:t>
      </w:r>
    </w:p>
    <w:p>
      <w:r>
        <w:rPr>
          <w:color w:val="646464"/>
          <w:sz w:val="20"/>
        </w:rPr>
        <w:t>文　　号：暂无</w:t>
        <w:br/>
        <w:t>发文机关：国家网信办网络数据管理局、广东省互联网信息办公室</w:t>
        <w:br/>
        <w:t>发文日期：2026-04-14</w:t>
      </w:r>
    </w:p>
    <w:p>
      <w:pPr>
        <w:ind w:left="240"/>
      </w:pPr>
      <w:r>
        <w:t>在广东举办数据安全与个人信息保护法规宣讲，推动制度落地落实。</w:t>
      </w:r>
    </w:p>
    <w:p>
      <w:pPr>
        <w:spacing w:before="0" w:after="80"/>
        <w:pBdr>
          <w:bottom w:val="single" w:sz="4" w:space="1" w:color="DDDDDD"/>
        </w:pBdr>
      </w:pPr>
    </w:p>
    <w:p/>
    <w:p>
      <w:pPr>
        <w:pStyle w:val="Heading1"/>
      </w:pPr>
      <w:r>
        <w:rPr>
          <w:color w:val="5B6DE4"/>
          <w:sz w:val="28"/>
        </w:rPr>
        <w:t>四、未来趋势判断</w:t>
      </w:r>
    </w:p>
    <w:p>
      <w:r>
        <w:rPr>
          <w:b/>
          <w:color w:val="5B6DE4"/>
        </w:rPr>
        <w:t xml:space="preserve">①  </w:t>
      </w:r>
      <w:r>
        <w:t>现象：2026年下半年，国家网信办密集发布《促进数字化绿色化协同转型发展实施方案（2026-2030年）》《促进网信企业高质量发展行动计划（2026-2030年）》等五年期文件，同时就《大型个人信息处理者个人信息保护规定》公开征求意见。逻辑：这标志着中国数字政策从"建制度"阶段进入"调结构"阶段——不再单纯追求立法覆盖，而是通过五年规划引导产业方向、通过分类监管（大型处理者）提升合规精度。研判：预计2026年底至2027年初将出台大型平台数据合规审计细则，头部企业面临更严格的年度合规报告义务，中小企业则可能获得简化合规通道，形成"抓大放小"的差异化监管格局。</w:t>
      </w:r>
    </w:p>
    <w:p>
      <w:r>
        <w:rPr>
          <w:b/>
          <w:color w:val="5B6DE4"/>
        </w:rPr>
        <w:t xml:space="preserve">②  </w:t>
      </w:r>
      <w:r>
        <w:t>现象：浙江省发改委2026年6月明确支持之江人工智能公共算力开放创新平台建设万卡级混合算力集群，以开放普惠方式提供AI算力；天津此前也发布算力产业发展实施方案。逻辑：地方算力竞赛正从"建枢纽"转向"建生态"，核心逻辑是降低中小AI企业的算力门槛，避免算力资源被少数大厂垄断。研判：2026年第四季度可能出现省级算力券/算力补贴政策的集中出台，但需警惕重复建设与利用率不足问题——建议关注国家数据局是否会出台算力调度统一标准，以遏制地方"为建而建"的冲动。</w:t>
      </w:r>
    </w:p>
    <w:p>
      <w:r>
        <w:rPr>
          <w:b/>
          <w:color w:val="5B6DE4"/>
        </w:rPr>
        <w:t xml:space="preserve">③  </w:t>
      </w:r>
      <w:r>
        <w:t>现象：工信部等四部门2026年7月联合发布《关于推动互联网基础资源高质量发展的指导意见》，同期网信办推进IPv6技术创新与融合应用实施方案（2026-2030年）。逻辑：互联网基础资源（域名、IP地址、AS号）是数字经济的"地基"，此前管理分散、标准不一，此次多部门联合发文意在统一治理框架，为数据要素流通和算力互联提供底层支撑。研判：IPv6规模部署将与东数西算工程深度耦合，预计2027年前国家层面将建立互联网基础资源统一注册管理平台，企业需提前做好IPv6-only环境下的合规适配。</w:t>
      </w:r>
    </w:p>
    <w:p>
      <w:r>
        <w:rPr>
          <w:b/>
          <w:color w:val="5B6DE4"/>
        </w:rPr>
        <w:t xml:space="preserve">④  </w:t>
      </w:r>
      <w:r>
        <w:t>现象：2026年8月至9月，网信办先后发布个人信息保护政策法规问答、数据出境安全管理问答，并通报个人信息保护系列专项行动阶段性成效；同期工信部发布汽车数据出境安全指引（2026版）。逻辑：数据跨境流动规则正从"原则性立法"走向"行业化落地"，汽车、医药（药物临床试验电子数据指导原则）等行业率先建立细分规则，体现"分业施策"的监管思路。研判：预计2027年将扩展至金融、医疗、能源等更多行业的数据出境指引，企业应建立行业特定的数据分类分级和出境评估流程，而非套用通用模板。</w:t>
      </w:r>
    </w:p>
    <w:p>
      <w:r>
        <w:rPr>
          <w:b/>
          <w:color w:val="5B6DE4"/>
        </w:rPr>
        <w:t xml:space="preserve">⑤  </w:t>
      </w:r>
      <w:r>
        <w:t>现象：2026年9月，国家药监局药审中心发布药物临床试验电子数据指导原则，引入计算机化系统验证和ALCOA++原则；同期工信部认定集群管理要求明确"每三年评估一次、整改不合格撤销认定"。逻辑：数据治理正从互联网行业向传统行业（医药、制造）渗透，监管抓手从"立法"转向"标准+认证+动态评估"的组合工具，强调数据全生命周期可追溯。研判：2027年可能出现跨行业的数据治理成熟度评估框架，医药、汽车、金融等数据密集型行业将率先面临第三方审计要求，数据治理服务市场将迎来爆发式增长。</w:t>
      </w:r>
    </w:p>
    <w:p>
      <w:r>
        <w:rPr>
          <w:b/>
          <w:color w:val="5B6DE4"/>
        </w:rPr>
        <w:t xml:space="preserve">⑥  </w:t>
      </w:r>
      <w:r>
        <w:t>现象：中国2026年密集出台网信企业高质量发展行动计划、数字化绿色化协同转型方案，而欧盟AI Act已进入分阶段实施期、日本数字厅持续推进AI治理框架、美国则在行政令与行业自律间摇摆。逻辑：三方路径差异明显——中国强调"发展与安全并重"的产业政策导向，欧盟侧重"风险分级+基本权利保护"的监管框架，美国偏向"创新优先+部门分散执法"。研判：中国企业出海面临的最大合规挑战将来自欧盟AI Act的高风险系统分类和数据治理要求，建议在2027年前建立覆盖中欧双合规的数据治理体系，同时关注日本"可信AI"认证互认机会，以降低多市场合规成本。</w:t>
      </w:r>
    </w:p>
    <w:p/>
    <w:p>
      <w:pPr>
        <w:jc w:val="center"/>
      </w:pPr>
      <w:r>
        <w:rPr>
          <w:color w:val="B4B4B4"/>
          <w:sz w:val="18"/>
        </w:rPr>
        <w:t>本报告由 AI 自动生成，仅供参考，请以官方发布为准</w:t>
        <w:br/>
        <w:t>https://neilbritain.github.io/daily-policy-report</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仿宋" w:hAnsi="仿宋"/>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