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生成日期：2026-10-26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《国家信息化“十五五”规划》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部署“十五五”时期信息化发展总体目标、重点任务与保障措施。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《工业和信息化部办公厅关于开展2026年度5G应用“扬帆”行动重点城市总结评估工作的通知》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启动5G应用“扬帆”行动重点城市年度总结评估，推动5G规模化应用。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《工业和信息化部关于成立工业软件标准化技术委员会的公告》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原文链接：https://www.miit.gov.cn/search/zcwjk.html</w:t>
      </w:r>
    </w:p>
    <w:p>
      <w:pPr>
        <w:ind w:left="240"/>
      </w:pPr>
      <w:r>
        <w:t>成立工业软件标准化技术委员会（MIIT/TC11），负责行业标准制修订。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《工业和信息化部办公厅关于印发2026年第二批行业标准制修订计划的通知》</w:t>
      </w:r>
    </w:p>
    <w:p>
      <w:r>
        <w:rPr>
          <w:color w:val="646464"/>
          <w:sz w:val="20"/>
        </w:rPr>
        <w:t>文　　号：工信厅联企业〔2026〕40号</w:t>
        <w:br/>
        <w:t>发文机关：工业和信息化部办公厅</w:t>
        <w:br/>
        <w:t>发文日期：2026-10-23</w:t>
        <w:br/>
        <w:t>原文链接：https://www.miit.gov.cn/search/zcwjk.html</w:t>
      </w:r>
    </w:p>
    <w:p>
      <w:pPr>
        <w:ind w:left="240"/>
      </w:pPr>
      <w:r>
        <w:t>下达2026年第二批行业标准制修订计划，涵盖工业互联网等领域。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《江苏省支持人工智能创新发展有关实施方案》</w:t>
      </w:r>
    </w:p>
    <w:p>
      <w:r>
        <w:rPr>
          <w:color w:val="646464"/>
          <w:sz w:val="20"/>
        </w:rPr>
        <w:t>文　　号：暂无</w:t>
        <w:br/>
        <w:t>发文机关：江苏省发展改革委等五部门</w:t>
        <w:br/>
        <w:t>发文日期：2026-10-13</w:t>
        <w:br/>
        <w:t>原文链接：https://jszwb.jiangsu.gov.cn/art/2026/10/13/art_92152_11841252.html</w:t>
      </w:r>
    </w:p>
    <w:p>
      <w:pPr>
        <w:ind w:left="240"/>
      </w:pPr>
      <w:r>
        <w:t>依托省一体化算力监测调度平台发放“词元券”，支持智能算力服务。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《国家信息化“十五五”规划》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部署“十五五”时期信息化发展总体目标、重点任务与保障措施。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《江苏省支持人工智能创新发展有关实施方案》</w:t>
      </w:r>
    </w:p>
    <w:p>
      <w:r>
        <w:rPr>
          <w:color w:val="646464"/>
          <w:sz w:val="20"/>
        </w:rPr>
        <w:t>文　　号：暂无</w:t>
        <w:br/>
        <w:t>发文机关：江苏省发展改革委等五部门</w:t>
        <w:br/>
        <w:t>发文日期：2026-10-13</w:t>
        <w:br/>
        <w:t>原文链接：https://jszwb.jiangsu.gov.cn/art/2026/10/13/art_92152_11841252.html</w:t>
      </w:r>
    </w:p>
    <w:p>
      <w:pPr>
        <w:ind w:left="240"/>
      </w:pPr>
      <w:r>
        <w:t>依托省一体化算力监测调度平台发放“词元券”，支持智能算力服务。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《工业和信息化部关于成立工业软件标准化技术委员会的公告》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原文链接：https://www.miit.gov.cn/search/zcwjk.html</w:t>
      </w:r>
    </w:p>
    <w:p>
      <w:pPr>
        <w:ind w:left="240"/>
      </w:pPr>
      <w:r>
        <w:t>成立工业软件标准化技术委员会（MIIT/TC11），负责行业标准制修订。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《工业和信息化部办公厅关于开展2026年度5G应用“扬帆”行动重点城市总结评估工作的通知》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启动5G应用“扬帆”行动重点城市年度总结评估，推动5G规模化应用。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《工业和信息化部办公厅关于印发2026年第二批行业标准制修订计划的通知》</w:t>
      </w:r>
    </w:p>
    <w:p>
      <w:r>
        <w:rPr>
          <w:color w:val="646464"/>
          <w:sz w:val="20"/>
        </w:rPr>
        <w:t>文　　号：工信厅联企业〔2026〕40号</w:t>
        <w:br/>
        <w:t>发文机关：工业和信息化部办公厅</w:t>
        <w:br/>
        <w:t>发文日期：2026-10-23</w:t>
        <w:br/>
        <w:t>原文链接：https://www.miit.gov.cn/search/zcwjk.html</w:t>
      </w:r>
    </w:p>
    <w:p>
      <w:pPr>
        <w:ind w:left="240"/>
      </w:pPr>
      <w:r>
        <w:t>下达2026年第二批行业标准制修订计划，涵盖工业互联网等领域。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原文链接：https://www.miit.gov.cn/</w:t>
      </w:r>
    </w:p>
    <w:p>
      <w:pPr>
        <w:ind w:left="240"/>
      </w:pPr>
      <w:r>
        <w:t>部署互联网基础资源高质量发展，强化网络根基与数据要素支撑。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《促进平台经济大中小企业协同发展行动方案（2026—2028年）》</w:t>
      </w:r>
    </w:p>
    <w:p>
      <w:r>
        <w:rPr>
          <w:color w:val="646464"/>
          <w:sz w:val="20"/>
        </w:rPr>
        <w:t>文　　号：暂无</w:t>
        <w:br/>
        <w:t>发文机关：工业和信息化部等七部门</w:t>
        <w:br/>
        <w:t>发文日期：2026-06-18</w:t>
        <w:br/>
        <w:t>原文链接：https://www.miit.gov.cn/</w:t>
      </w:r>
    </w:p>
    <w:p>
      <w:pPr>
        <w:ind w:left="240"/>
      </w:pPr>
      <w:r>
        <w:t>推动平台经济大中小企业协同发展，强化数字生态与数据共享。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</w:t>
      </w:r>
    </w:p>
    <w:p>
      <w:pPr>
        <w:ind w:left="240"/>
      </w:pPr>
      <w:r>
        <w:t>拟对大型个人信息处理者设定专门保护义务，强化数据安全合规。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《2026年广西数据管理和政务服务工作要点》</w:t>
      </w:r>
    </w:p>
    <w:p>
      <w:r>
        <w:rPr>
          <w:color w:val="646464"/>
          <w:sz w:val="20"/>
        </w:rPr>
        <w:t>文　　号：暂无</w:t>
        <w:br/>
        <w:t>发文机关：广西壮族自治区大数据发展局</w:t>
        <w:br/>
        <w:t>发文日期：2026-03-26</w:t>
        <w:br/>
        <w:t>原文链接：http://dsjfzj.gxzf.gov.cn/</w:t>
      </w:r>
    </w:p>
    <w:p>
      <w:pPr>
        <w:ind w:left="240"/>
      </w:pPr>
      <w:r>
        <w:t>部署广西数据管理、政务服务和数字政府建设年度重点任务。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国家网信办10月23日发布《国家信息化“十五五”规划》，同期工信部密集出台工业软件标委会、行业标准计划等文件。逻辑：规划将信息化从“数字基建”转向“制度基建”，以标准先行锁定技术路线和产业话语权，避免“十五五”开局各自为战。研判：后续各部委将围绕规划出台配套细则，工业软件、算力调度、数据基础制度等领域标准竞争加剧，地方申报试点需提前对标。</w:t>
      </w:r>
    </w:p>
    <w:p>
      <w:r>
        <w:rPr>
          <w:b/>
          <w:color w:val="5B6DE4"/>
        </w:rPr>
        <w:t xml:space="preserve">②  </w:t>
      </w:r>
      <w:r>
        <w:t>现象：江苏省10月13日出台AI创新发展方案，依托省一体化算力监测调度平台发放“词元券”，将算力补贴与Token消耗挂钩。逻辑：算力补贴从“建中心”转向“补用算”，以词元券降低中小主体用算门槛，同时把分散算力纳入统一调度，提升利用率。研判：词元券模式可能被更多省份借鉴，但需防范刷单套补和算力孤岛回潮，跨省算力结算机制亟待建立。</w:t>
      </w:r>
    </w:p>
    <w:p>
      <w:r>
        <w:rPr>
          <w:b/>
          <w:color w:val="5B6DE4"/>
        </w:rPr>
        <w:t xml:space="preserve">③  </w:t>
      </w:r>
      <w:r>
        <w:t>现象：工信部10月23日成立工业软件标准化技术委员会（MIIT/TC11），并下达2026年第二批行业标准制修订计划。逻辑：工业软件是工业互联网和数字化转型的“卡脖子”环节，标准化是生态构建的前置条件，意在通过标准统一接口、互操作和产品服务规范。研判：标准制定将加速国产工业软件在重点行业渗透，但需警惕标准滞后于技术迭代，建议同步建立开源社区和测试验证平台。</w:t>
      </w:r>
    </w:p>
    <w:p>
      <w:r>
        <w:rPr>
          <w:b/>
          <w:color w:val="5B6DE4"/>
        </w:rPr>
        <w:t xml:space="preserve">④  </w:t>
      </w:r>
      <w:r>
        <w:t>现象：国家网信办8月发布《大型个人信息处理者个人信息保护规定（征求意见稿）》，10月继续推进个人信息保护专项行动。逻辑：数据安全监管从“普遍合规”转向“分级分类精准监管”，对大型平台设定更高义务，降低中小主体合规成本。研判：大型平台将面临更严的独立审计和出境评估要求，数据跨境流动“白名单”机制有望加快落地，企业需提前梳理数据资产地图。</w:t>
      </w:r>
    </w:p>
    <w:p>
      <w:r>
        <w:rPr>
          <w:b/>
          <w:color w:val="5B6DE4"/>
        </w:rPr>
        <w:t xml:space="preserve">⑤  </w:t>
      </w:r>
      <w:r>
        <w:t>现象：工信部10月19日启动2026年度5G应用“扬帆”行动重点城市总结评估，此前七部门6月印发平台经济协同发展行动方案。逻辑：5G和平台经济政策从“建网络、扩规模”转向“评效果、促协同”，以评估倒逼地方和企业提升应用深度，推动大中小企业融通。研判：评估结果可能与后续资源倾斜挂钩，地方需警惕“重指标轻实效”，建议将行业应用渗透率和中小企业参与度纳入核心考核。</w:t>
      </w:r>
    </w:p>
    <w:p>
      <w:r>
        <w:rPr>
          <w:b/>
          <w:color w:val="5B6DE4"/>
        </w:rPr>
        <w:t xml:space="preserve">⑥  </w:t>
      </w:r>
      <w:r>
        <w:t>现象：中国以“十五五”信息化规划统筹算力、数据与AI，江苏试点词元券；欧盟持续推进AI Act与GDPR衔接，美国聚焦AI行政令与NIST标准，日本数字厅强化AI治理。逻辑：三方均从战略布局转向落地监管，但中国偏重基础设施与算力普惠，欧盟偏重风险分级与基本权利，美国偏重创新优先与标准引导。研判：中国可借鉴欧盟风险分级思路完善AI治理，同时保持算力普惠特色；企业出海需同时应对欧盟合规审计和美国标准认证，合规成本上升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