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生成日期：2026-06-30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《专家解读|建立健全数据安全风险评估制度筑牢国家数据安全屏障》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解读数据安全风险评估制度，强调筑牢数据安全屏障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《专家解读|高质量开展网络数据安全风险评估推动网络数据安全治理长效发展》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解读网络数据安全风险评估，推动治理长效发展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《专家解读|统筹网络发展和安全完善数据治理体系》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解读统筹网络发展与安全，完善数据治理体系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《专家解读|完善网络数据安全风险评估制度提升网络数据安全治理能力》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解读完善网络数据安全风险评估制度，提升治理能力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《《2026年数字经济发展工作要点》印发》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发文日期：2026-05-21</w:t>
        <w:br/>
        <w:t>原文链接：http://finance.people.com.cn/n1/2026/0521/c1004-40724157.html</w:t>
      </w:r>
    </w:p>
    <w:p>
      <w:pPr>
        <w:ind w:left="240"/>
      </w:pPr>
      <w:r>
        <w:t>部署2026年数字经济8方面重点任务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《《促进平台经济大中小企业协同发展行动方案》》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发文日期：2026-06-01</w:t>
        <w:br/>
        <w:t>原文链接：https://www.miit.gov.cn/zwgk/zcwj/</w:t>
      </w:r>
    </w:p>
    <w:p>
      <w:pPr>
        <w:ind w:left="240"/>
      </w:pPr>
      <w:r>
        <w:t>促进平台经济大中小企业协同发展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支持人工智能赋能新型工业化项目入库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《工信部印发《“人工智能+信息通信”创新发展实施意见(2026—2028年)》》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发文日期：2026-06-03</w:t>
        <w:br/>
        <w:t>原文链接：https://fjca.miit.gov.cn/xwdt/bsyw/art/2026/art_f325d5fe373141a28b31a6fa43377a5a.html</w:t>
      </w:r>
    </w:p>
    <w:p>
      <w:pPr>
        <w:ind w:left="240"/>
      </w:pPr>
      <w:r>
        <w:t>推动人工智能与信息通信融合创新发展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《工业和信息化部召开高质量行业数据集建设工作座谈会》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发文日期：2026-06-08</w:t>
        <w:br/>
        <w:t>原文链接：https://xjca.miit.gov.cn/xwdt/bsyw/index.html</w:t>
      </w:r>
    </w:p>
    <w:p>
      <w:pPr>
        <w:ind w:left="240"/>
      </w:pPr>
      <w:r>
        <w:t>讨论高质量行业数据集建设，推动数据要素发展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《《人工智能终端智能化分级》系列国家标准发布》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发文日期：2026-05-12</w:t>
        <w:br/>
        <w:t>原文链接：https://xjca.miit.gov.cn/xwdt/bsyw/index.html</w:t>
      </w:r>
    </w:p>
    <w:p>
      <w:pPr>
        <w:ind w:left="240"/>
      </w:pPr>
      <w:r>
        <w:t>发布人工智能终端智能化分级国家标准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加速）：2026年6月，网信办密集发布4篇专家解读，聚焦网络数据安全风险评估制度，标志着数据安全治理从宏观立法进入精细化落地阶段。此前《数据安全法》已确立框架，但缺乏操作细则；此次系列解读意在统一评估标准、明确责任主体。研判：下半年可能出台《网络数据安全风险评估管理办法》正式文件，企业需提前建立内部评估机制，尤其涉及重要数据和跨境传输的场景。</w:t>
      </w:r>
    </w:p>
    <w:p>
      <w:r>
        <w:rPr>
          <w:b/>
          <w:color w:val="5B6DE4"/>
        </w:rPr>
        <w:t xml:space="preserve">②  </w:t>
      </w:r>
      <w:r>
        <w:t>趋势2（AI+产业融合深化）：工信部6月3日印发《“人工智能+信息通信”创新发展实施意见(2026—2028年)》，首次将AI与信息通信的融合提升至专项政策高度。此举旨在以通信网络为底座，推动AI在工业、城市治理等场景规模化落地。逻辑上，5G/6G网络的高带宽低时延是AI应用的基础，政策意图是抢占下一代智能基础设施标准。研判：未来三年，运营商和ICT设备商将获得更多研发补贴，但需警惕重复建设。</w:t>
      </w:r>
    </w:p>
    <w:p>
      <w:r>
        <w:rPr>
          <w:b/>
          <w:color w:val="5B6DE4"/>
        </w:rPr>
        <w:t xml:space="preserve">③  </w:t>
      </w:r>
      <w:r>
        <w:t>趋势3（地方算力布局差异化）：天津、青岛、成都等地纷纷出台2024—2026年算力/AI行动计划，但侧重点不同：天津强调“通用+智能+超算”一体化，青岛聚焦海洋大模型，成都主攻全要素提升。这反映出国家“东数西算”框架下，地方正根据自身产业基础错位竞争。逻辑上，算力资源从“铺摊子”转向“用起来”，政策引导算力与本地优势产业结合。研判：未来两年，算力中心利用率将成为考核重点，缺乏应用场景的地区可能面临资源闲置。</w:t>
      </w:r>
    </w:p>
    <w:p>
      <w:r>
        <w:rPr>
          <w:b/>
          <w:color w:val="5B6DE4"/>
        </w:rPr>
        <w:t xml:space="preserve">④  </w:t>
      </w:r>
      <w:r>
        <w:t>趋势4（数据要素市场化提速）：国家数据局5月21日印发《2026年数字经济发展工作要点》，明确加快建立全国统一数据产权登记制度。这是继“数据二十条”后的关键执行步骤，旨在解决数据确权难、定价难等核心堵点。逻辑上，只有产权清晰，数据才能像土地、资本一样流通。研判：下半年将出台数据产权登记指引，公共数据授权运营价格形成机制有望率先突破，但企业数据和个人信息保护仍存博弈。</w:t>
      </w:r>
    </w:p>
    <w:p>
      <w:r>
        <w:rPr>
          <w:b/>
          <w:color w:val="5B6DE4"/>
        </w:rPr>
        <w:t xml:space="preserve">⑤  </w:t>
      </w:r>
      <w:r>
        <w:t>趋势5（平台经济监管转向促发展）：工信部6月发布《促进平台经济大中小企业协同发展行动方案》，与过去几年强监管形成对比。政策从“规范”转向“赋能”，鼓励平台开放能力带动中小企业数字化转型。逻辑上，平台经济在就业、创新中的作用被重新评估，政策意在平衡发展与安全。研判：后续可能出台税收优惠或专项基金，支持平台企业提供SaaS化工具，但反垄断合规要求不会放松。</w:t>
      </w:r>
    </w:p>
    <w:p>
      <w:r>
        <w:rPr>
          <w:b/>
          <w:color w:val="5B6DE4"/>
        </w:rPr>
        <w:t xml:space="preserve">⑥  </w:t>
      </w:r>
      <w:r>
        <w:t>趋势6（国际比较：中国AI政策侧重产业落地 vs 欧盟侧重风险分级）：中国6月发布的《“人工智能+信息通信”实施意见》强调技术融合与产业赋能，而欧盟《AI Act》2026年进入执行阶段，核心是风险分级与合规义务。美国则通过行政令推动联邦机构AI应用安全评估。中国模式更注重“用起来”以拉动经济增长，欧盟更注重“管起来”以保护基本权利。启示：中国企业在出海欧盟时需提前建立风险分级体系，而欧盟企业进入中国市场则需适应更灵活的产业政策环境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