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5B6DE4"/>
          <w:sz w:val="44"/>
        </w:rPr>
        <w:t>数据和信息化政策日报</w:t>
      </w:r>
    </w:p>
    <w:p>
      <w:pPr>
        <w:jc w:val="center"/>
      </w:pPr>
      <w:r>
        <w:rPr>
          <w:color w:val="828282"/>
          <w:sz w:val="22"/>
        </w:rPr>
        <w:t>生成日期：2026-08-16　　数据 · 算力 · 信息化</w:t>
      </w:r>
    </w:p>
    <w:p/>
    <w:p>
      <w:pPr>
        <w:pStyle w:val="Heading1"/>
      </w:pPr>
      <w:r>
        <w:rPr>
          <w:color w:val="5B6DE4"/>
          <w:sz w:val="28"/>
        </w:rPr>
        <w:t>一、过去 24 小时关键政策</w:t>
      </w:r>
    </w:p>
    <w:p>
      <w:r>
        <w:rPr>
          <w:b/>
          <w:sz w:val="24"/>
        </w:rPr>
        <w:t>《国家网信办就大型网络平台设立个人信息保护监督委员会规定征求意见》</w:t>
      </w:r>
    </w:p>
    <w:p>
      <w:r>
        <w:rPr>
          <w:color w:val="646464"/>
          <w:sz w:val="20"/>
        </w:rPr>
        <w:t>文　　号：暂无</w:t>
        <w:br/>
        <w:t>发文机关：国家互联网信息办公室</w:t>
        <w:br/>
        <w:t>发文日期：2026-08-07</w:t>
        <w:br/>
        <w:t>原文链接：https://github.com/d8443j9k-dotcom/keji202608/blob/main/20260807-hdco1y4u.md</w:t>
      </w:r>
    </w:p>
    <w:p>
      <w:pPr>
        <w:ind w:left="240"/>
      </w:pPr>
      <w:r>
        <w:t>规范大型个人信息处理者活动，要求设立监督委员会，保障个人信息权益。</w:t>
      </w:r>
    </w:p>
    <w:p>
      <w:pPr>
        <w:spacing w:before="0" w:after="80"/>
        <w:pBdr>
          <w:bottom w:val="single" w:sz="4" w:space="1" w:color="DDDDDD"/>
        </w:pBdr>
      </w:pPr>
    </w:p>
    <w:p>
      <w:r>
        <w:rPr>
          <w:b/>
          <w:sz w:val="24"/>
        </w:rPr>
        <w:t>《2026年APEC数字周数据领域系列活动新闻发布会召开》</w:t>
      </w:r>
    </w:p>
    <w:p>
      <w:r>
        <w:rPr>
          <w:color w:val="646464"/>
          <w:sz w:val="20"/>
        </w:rPr>
        <w:t>文　　号：暂无</w:t>
        <w:br/>
        <w:t>发文机关：国家数据局</w:t>
        <w:br/>
        <w:t>发文日期：2026-08-15</w:t>
        <w:br/>
        <w:t>原文链接：https://www.nda.gov.cn/sjj/index_pc.html</w:t>
      </w:r>
    </w:p>
    <w:p>
      <w:pPr>
        <w:ind w:left="240"/>
      </w:pPr>
      <w:r>
        <w:t>国家数据局在成都召开新闻发布会，介绍APEC数字周数据领域系列活动安排。</w:t>
      </w:r>
    </w:p>
    <w:p>
      <w:pPr>
        <w:spacing w:before="0" w:after="80"/>
        <w:pBdr>
          <w:bottom w:val="single" w:sz="4" w:space="1" w:color="DDDDDD"/>
        </w:pBdr>
      </w:pPr>
    </w:p>
    <w:p>
      <w:r>
        <w:rPr>
          <w:b/>
          <w:sz w:val="24"/>
        </w:rPr>
        <w:t>《2026年8月上旬流通领域重要生产资料市场价格变动情况发布》</w:t>
      </w:r>
    </w:p>
    <w:p>
      <w:r>
        <w:rPr>
          <w:color w:val="646464"/>
          <w:sz w:val="20"/>
        </w:rPr>
        <w:t>文　　号：暂无</w:t>
        <w:br/>
        <w:t>发文机关：国家统计局</w:t>
        <w:br/>
        <w:t>发文日期：2026-08-14</w:t>
        <w:br/>
        <w:t>原文链接：https://www.stats.gov.cn/sj/zxfb/</w:t>
      </w:r>
    </w:p>
    <w:p>
      <w:pPr>
        <w:ind w:left="240"/>
      </w:pPr>
      <w:r>
        <w:t>国家统计局发布8月上旬生产资料市场价格数据，反映宏观经济运行态势。</w:t>
      </w:r>
    </w:p>
    <w:p>
      <w:pPr>
        <w:spacing w:before="0" w:after="80"/>
        <w:pBdr>
          <w:bottom w:val="single" w:sz="4" w:space="1" w:color="DDDDDD"/>
        </w:pBdr>
      </w:pPr>
    </w:p>
    <w:p/>
    <w:p>
      <w:pPr>
        <w:pStyle w:val="Heading1"/>
      </w:pPr>
      <w:r>
        <w:rPr>
          <w:color w:val="5B6DE4"/>
          <w:sz w:val="28"/>
        </w:rPr>
        <w:t>二、过去一个月主要政策动向</w:t>
      </w:r>
    </w:p>
    <w:p>
      <w:r>
        <w:rPr>
          <w:b/>
          <w:sz w:val="24"/>
        </w:rPr>
        <w:t>《工业绿色低碳发展十五五规划》</w:t>
      </w:r>
    </w:p>
    <w:p>
      <w:r>
        <w:rPr>
          <w:color w:val="646464"/>
          <w:sz w:val="20"/>
        </w:rPr>
        <w:t>文　　号：工信部规〔2026〕169号</w:t>
        <w:br/>
        <w:t>发文机关：工业和信息化部</w:t>
        <w:br/>
        <w:t>发文日期：2026-07-15</w:t>
        <w:br/>
        <w:t>原文链接：https://www.miit.gov.cn/zwgk/zcwj/</w:t>
      </w:r>
    </w:p>
    <w:p>
      <w:pPr>
        <w:ind w:left="240"/>
      </w:pPr>
      <w:r>
        <w:t>部署工业领域绿色低碳发展，推动数字化绿色化协同转型。</w:t>
      </w:r>
    </w:p>
    <w:p>
      <w:pPr>
        <w:spacing w:before="0" w:after="80"/>
        <w:pBdr>
          <w:bottom w:val="single" w:sz="4" w:space="1" w:color="DDDDDD"/>
        </w:pBdr>
      </w:pPr>
    </w:p>
    <w:p>
      <w:r>
        <w:rPr>
          <w:b/>
          <w:sz w:val="24"/>
        </w:rPr>
        <w:t>《智能体互信互联互操作全球合作倡议》</w:t>
      </w:r>
    </w:p>
    <w:p>
      <w:r>
        <w:rPr>
          <w:color w:val="646464"/>
          <w:sz w:val="20"/>
        </w:rPr>
        <w:t>文　　号：暂无</w:t>
        <w:br/>
        <w:t>发文机关：国家互联网信息办公室</w:t>
        <w:br/>
        <w:t>发文日期：2026-07-20</w:t>
        <w:br/>
        <w:t>原文链接：https://mp.weixin.qq.com/s?__biz=MzAwNjY5MzI4Nw==&amp;mid=2649431028&amp;idx=1&amp;sn=74ea3bf71b0243b7ddd1191e03801b45&amp;chksm=827a1155411c4778427231c91a246d6078ef29d62c91425b6077c465b293befc83d14a3d0173&amp;scene=27</w:t>
      </w:r>
    </w:p>
    <w:p>
      <w:pPr>
        <w:ind w:left="240"/>
      </w:pPr>
      <w:r>
        <w:t>在APEC人工智能高级别论坛上提出，推动智能体间互信互联互操作。</w:t>
      </w:r>
    </w:p>
    <w:p>
      <w:pPr>
        <w:spacing w:before="0" w:after="80"/>
        <w:pBdr>
          <w:bottom w:val="single" w:sz="4" w:space="1" w:color="DDDDDD"/>
        </w:pBdr>
      </w:pPr>
    </w:p>
    <w:p/>
    <w:p>
      <w:pPr>
        <w:pStyle w:val="Heading1"/>
      </w:pPr>
      <w:r>
        <w:rPr>
          <w:color w:val="5B6DE4"/>
          <w:sz w:val="28"/>
        </w:rPr>
        <w:t>三、今年以来主要政策</w:t>
      </w:r>
    </w:p>
    <w:p>
      <w:r>
        <w:rPr>
          <w:b/>
          <w:sz w:val="24"/>
        </w:rPr>
        <w:t>《汽车数据出境安全指引（2026年）》</w:t>
      </w:r>
    </w:p>
    <w:p>
      <w:r>
        <w:rPr>
          <w:color w:val="646464"/>
          <w:sz w:val="20"/>
        </w:rPr>
        <w:t>文　　号：工信部联网安〔2026〕27号</w:t>
        <w:br/>
        <w:t>发文机关：工信部、国家网信办、国家发改委、国家数据局等八部门</w:t>
        <w:br/>
        <w:t>发文日期：2026-02-03</w:t>
        <w:br/>
        <w:t>原文链接：https://www.miit.gov.cn/gyhxxhb/jgsj/wlaqglj/zcjd/art/2026/art_4d7ad5b77fc24cdabb2a3ec6c306ce14.html</w:t>
      </w:r>
    </w:p>
    <w:p>
      <w:pPr>
        <w:ind w:left="240"/>
      </w:pPr>
      <w:r>
        <w:t>建立高效便利安全的汽车数据跨境流动机制，提升出境便利化水平。</w:t>
      </w:r>
    </w:p>
    <w:p>
      <w:pPr>
        <w:spacing w:before="0" w:after="80"/>
        <w:pBdr>
          <w:bottom w:val="single" w:sz="4" w:space="1" w:color="DDDDDD"/>
        </w:pBdr>
      </w:pPr>
    </w:p>
    <w:p>
      <w:r>
        <w:rPr>
          <w:b/>
          <w:sz w:val="24"/>
        </w:rPr>
        <w:t>《全国数据工作会议部署2026年八方面重点任务》</w:t>
      </w:r>
    </w:p>
    <w:p>
      <w:r>
        <w:rPr>
          <w:color w:val="646464"/>
          <w:sz w:val="20"/>
        </w:rPr>
        <w:t>文　　号：暂无</w:t>
        <w:br/>
        <w:t>发文机关：国家数据局</w:t>
        <w:br/>
        <w:t>发文日期：2026-01-02</w:t>
      </w:r>
    </w:p>
    <w:p>
      <w:pPr>
        <w:ind w:left="240"/>
      </w:pPr>
      <w:r>
        <w:t>明确2026年为数据要素价值释放年，部署数据流通、市场生态等八项任务。</w:t>
      </w:r>
    </w:p>
    <w:p>
      <w:pPr>
        <w:spacing w:before="0" w:after="80"/>
        <w:pBdr>
          <w:bottom w:val="single" w:sz="4" w:space="1" w:color="DDDDDD"/>
        </w:pBdr>
      </w:pPr>
    </w:p>
    <w:p>
      <w:r>
        <w:rPr>
          <w:b/>
          <w:sz w:val="24"/>
        </w:rPr>
        <w:t>《网络数据安全风险评估制度解读》</w:t>
      </w:r>
    </w:p>
    <w:p>
      <w:r>
        <w:rPr>
          <w:color w:val="646464"/>
          <w:sz w:val="20"/>
        </w:rPr>
        <w:t>文　　号：暂无</w:t>
        <w:br/>
        <w:t>发文机关：国家互联网信息办公室</w:t>
        <w:br/>
        <w:t>发文日期：2026-07-03</w:t>
        <w:br/>
        <w:t>原文链接：https://www.cac.gov.cn/wxzw/zcfg/A093703index_1.htm</w:t>
      </w:r>
    </w:p>
    <w:p>
      <w:pPr>
        <w:ind w:left="240"/>
      </w:pPr>
      <w:r>
        <w:t>专家解读数据安全风险评估制度，筑牢国家数据安全屏障。</w:t>
      </w:r>
    </w:p>
    <w:p>
      <w:pPr>
        <w:spacing w:before="0" w:after="80"/>
        <w:pBdr>
          <w:bottom w:val="single" w:sz="4" w:space="1" w:color="DDDDDD"/>
        </w:pBdr>
      </w:pPr>
    </w:p>
    <w:p/>
    <w:p>
      <w:pPr>
        <w:pStyle w:val="Heading1"/>
      </w:pPr>
      <w:r>
        <w:rPr>
          <w:color w:val="5B6DE4"/>
          <w:sz w:val="28"/>
        </w:rPr>
        <w:t>四、未来趋势判断</w:t>
      </w:r>
    </w:p>
    <w:p>
      <w:r>
        <w:rPr>
          <w:b/>
          <w:color w:val="5B6DE4"/>
        </w:rPr>
        <w:t xml:space="preserve">①  </w:t>
      </w:r>
      <w:r>
        <w:t>趋势1（制度建设）：国家网信办8月7日就《大型网络平台设立个人信息保护监督委员会规定》征求意见，标志着个人信息保护从原则性规定走向具体制度落地。该规定依据《个人信息保护法》和《网络数据安全管理条例》制定，要求大型平台建立内部监督机构，体现了监管层将外部合规压力转化为企业内生动力的思路。预计后续将出台配套的委员会组成、议事规则等细则，大型平台的数据治理架构将面临实质性调整，合规成本显著上升。</w:t>
      </w:r>
    </w:p>
    <w:p>
      <w:r>
        <w:rPr>
          <w:b/>
          <w:color w:val="5B6DE4"/>
        </w:rPr>
        <w:t xml:space="preserve">②  </w:t>
      </w:r>
      <w:r>
        <w:t>趋势2（数据跨境）：八部门联合印发《汽车数据出境安全指引（2026年）》，是继2024年《促进和规范数据跨境流动规定》后，在垂直行业数据跨境领域的重大突破。该指引针对汽车行业海量车联网数据，建立分类分级出境管理机制，既保障国家安全又提升便利化水平。这一模式很可能被复制到金融、医疗、工业等其他高敏感数据领域，形成分行业的数据出境管理矩阵。</w:t>
      </w:r>
    </w:p>
    <w:p>
      <w:r>
        <w:rPr>
          <w:b/>
          <w:color w:val="5B6DE4"/>
        </w:rPr>
        <w:t xml:space="preserve">③  </w:t>
      </w:r>
      <w:r>
        <w:t>趋势3（区域格局）：2026年APEC数字周数据领域系列活动选择在四川成都举办，并非偶然。成都作为东数西算工程成渝枢纽节点，正加速建设全国一体化算力网络国家枢纽节点。国家数据局借APEC平台展示中国数据治理方案，同时带动西部数字经济发展。预计成渝地区将获得更多数据要素市场化配置改革试点政策，东西部算力协作与数据流通将进入快车道。</w:t>
      </w:r>
    </w:p>
    <w:p>
      <w:r>
        <w:rPr>
          <w:b/>
          <w:color w:val="5B6DE4"/>
        </w:rPr>
        <w:t xml:space="preserve">④  </w:t>
      </w:r>
      <w:r>
        <w:t>趋势4（产业影响）：工信部发布《工业绿色低碳发展“十五五”规划》，将数字化绿色化协同作为重要方向。工业互联网、数字孪生、AI能耗优化等技术在钢铁、化工等高耗能行业的应用将加速。政策导向从单纯减排转向通过数字技术提升全要素生产率，预计将催生一批工业数字化绿色化解决方案提供商，带动相关软硬件市场快速增长。</w:t>
      </w:r>
    </w:p>
    <w:p>
      <w:r>
        <w:rPr>
          <w:b/>
          <w:color w:val="5B6DE4"/>
        </w:rPr>
        <w:t xml:space="preserve">⑤  </w:t>
      </w:r>
      <w:r>
        <w:t>趋势5（安全合规）：全国网络安全标准化技术委员会发布《人工智能应用伦理安全指引1.0》，与《生成式人工智能服务管理暂行办法》形成互补。指引强调以人为本、智能向善，对AI应用提出全生命周期伦理安全要求。随着AI大模型在各行业深度应用，伦理安全将从合规要求转化为竞争力要素，具备完善伦理治理体系的企业将在政府采购和行业准入中占据优势。</w:t>
      </w:r>
    </w:p>
    <w:p>
      <w:r>
        <w:rPr>
          <w:b/>
          <w:color w:val="5B6DE4"/>
        </w:rPr>
        <w:t xml:space="preserve">⑥  </w:t>
      </w:r>
      <w:r>
        <w:t>趋势6（国际比较）：中国在APEC提出《智能体互信互联互操作全球合作倡议》，与欧盟《人工智能法案》分级监管思路、日本“AI战略2026”侧重产业促进形成鲜明对比。中国采取“发展+安全”双轮驱动，强调国际合作与互操作性；欧盟侧重风险分级与合规处罚；日本注重应用场景拓展与中小企业赋能。三国路径差异反映各自产业基础与治理哲学，中国倡议有望在亚太区域形成数据治理新范式，但需注意与欧盟AI法案的互认衔接问题。</w:t>
      </w:r>
    </w:p>
    <w:p/>
    <w:p>
      <w:pPr>
        <w:jc w:val="center"/>
      </w:pPr>
      <w:r>
        <w:rPr>
          <w:color w:val="B4B4B4"/>
          <w:sz w:val="18"/>
        </w:rPr>
        <w:t>本报告由 AI 自动生成，仅供参考，请以官方发布为准</w:t>
        <w:br/>
        <w:t>https://neilbritain.github.io/daily-policy-report</w:t>
      </w:r>
    </w:p>
    <w:sectPr w:rsidR="00FC693F" w:rsidRPr="0006063C" w:rsidSect="00034616">
      <w:pgSz w:w="12240" w:h="15840"/>
      <w:pgMar w:top="1417" w:right="1701"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pPr>
    <w:rPr>
      <w:rFonts w:ascii="仿宋" w:hAnsi="仿宋"/>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