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生成日期：2026-07-28　　数据 · 算力 · 信息化</w:t>
      </w:r>
    </w:p>
    <w:p/>
    <w:p>
      <w:pPr>
        <w:pStyle w:val="Heading1"/>
      </w:pPr>
      <w:r>
        <w:rPr>
          <w:color w:val="5B6DE4"/>
          <w:sz w:val="28"/>
        </w:rPr>
        <w:t>一、过去 24 小时关键政策</w:t>
      </w:r>
    </w:p>
    <w:p>
      <w:r>
        <w:rPr>
          <w:b/>
          <w:sz w:val="24"/>
        </w:rPr>
        <w:t>《人工智能拟人化互动服务管理暂行办法》</w:t>
      </w:r>
    </w:p>
    <w:p>
      <w:r>
        <w:rPr>
          <w:color w:val="646464"/>
          <w:sz w:val="20"/>
        </w:rPr>
        <w:t>文　　号：国家网信办等五部门令第21号</w:t>
        <w:br/>
        <w:t>发文机关：国家网信办、国家发展改革委、工业和信息化部、公安部、市场监管总局</w:t>
        <w:br/>
        <w:t>发文日期：2026-07-15</w:t>
        <w:br/>
        <w:t>原文链接：https://www.gov.cn/gongbao/2026/issue_12806/202606/content_7072472.html?webview_progress_bar=1&amp;push_animated=1&amp;show_loading=0&amp;theme=light</w:t>
      </w:r>
    </w:p>
    <w:p>
      <w:pPr>
        <w:ind w:left="240"/>
      </w:pPr>
      <w:r>
        <w:t>规范人工智能拟人化互动服务，自2026年7月15日起施行</w:t>
      </w:r>
    </w:p>
    <w:p>
      <w:pPr>
        <w:spacing w:before="0" w:after="80"/>
        <w:pBdr>
          <w:bottom w:val="single" w:sz="4" w:space="1" w:color="DDDDDD"/>
        </w:pBdr>
      </w:pPr>
    </w:p>
    <w:p>
      <w:r>
        <w:rPr>
          <w:b/>
          <w:sz w:val="24"/>
        </w:rPr>
        <w:t>《2026年APEC数字和人工智能部长会议通过《成都声明》》</w:t>
      </w:r>
    </w:p>
    <w:p>
      <w:r>
        <w:rPr>
          <w:color w:val="646464"/>
          <w:sz w:val="20"/>
        </w:rPr>
        <w:t>文　　号：暂无</w:t>
        <w:br/>
        <w:t>发文机关：APEC</w:t>
        <w:br/>
        <w:t>发文日期：2026-07-24</w:t>
      </w:r>
    </w:p>
    <w:p>
      <w:pPr>
        <w:ind w:left="240"/>
      </w:pPr>
      <w:r>
        <w:t>APEC数字和人工智能部长会议通过成都声明，达成共识</w:t>
      </w:r>
    </w:p>
    <w:p>
      <w:pPr>
        <w:spacing w:before="0" w:after="80"/>
        <w:pBdr>
          <w:bottom w:val="single" w:sz="4" w:space="1" w:color="DDDDDD"/>
        </w:pBdr>
      </w:pPr>
    </w:p>
    <w:p/>
    <w:p>
      <w:pPr>
        <w:pStyle w:val="Heading1"/>
      </w:pPr>
      <w:r>
        <w:rPr>
          <w:color w:val="5B6DE4"/>
          <w:sz w:val="28"/>
        </w:rPr>
        <w:t>二、过去一个月主要政策动向</w:t>
      </w:r>
    </w:p>
    <w:p>
      <w:r>
        <w:rPr>
          <w:b/>
          <w:sz w:val="24"/>
        </w:rPr>
        <w:t>《关于印发《实施网络安全标识的产品目录（第一批）》及相关实施规则的通知》</w:t>
      </w:r>
    </w:p>
    <w:p>
      <w:r>
        <w:rPr>
          <w:color w:val="646464"/>
          <w:sz w:val="20"/>
        </w:rPr>
        <w:t>文　　号：暂无</w:t>
        <w:br/>
        <w:t>发文机关：中央网络安全和信息化委员会办公室</w:t>
        <w:br/>
        <w:t>发文日期：2026-06-18</w:t>
        <w:br/>
        <w:t>原文链接：https://www.cac.gov.cn/wxzw/wxfb/A093702index_1.htm</w:t>
      </w:r>
    </w:p>
    <w:p>
      <w:pPr>
        <w:ind w:left="240"/>
      </w:pPr>
      <w:r>
        <w:t>发布网络安全标识产品目录第一批及实施规则</w:t>
      </w:r>
    </w:p>
    <w:p>
      <w:pPr>
        <w:spacing w:before="0" w:after="80"/>
        <w:pBdr>
          <w:bottom w:val="single" w:sz="4" w:space="1" w:color="DDDDDD"/>
        </w:pBdr>
      </w:pPr>
    </w:p>
    <w:p>
      <w:r>
        <w:rPr>
          <w:b/>
          <w:sz w:val="24"/>
        </w:rPr>
        <w:t>《国家网信办等三部门联合公布《网络数据安全风险评估办法》》</w:t>
      </w:r>
    </w:p>
    <w:p>
      <w:r>
        <w:rPr>
          <w:color w:val="646464"/>
          <w:sz w:val="20"/>
        </w:rPr>
        <w:t>文　　号：暂无</w:t>
        <w:br/>
        <w:t>发文机关：国家网信办、工信部、公安部</w:t>
        <w:br/>
        <w:t>发文日期：2026-06-18</w:t>
        <w:br/>
        <w:t>原文链接：https://www.cac.gov.cn/wxzw/wxfb/A093702index_1.htm</w:t>
      </w:r>
    </w:p>
    <w:p>
      <w:pPr>
        <w:ind w:left="240"/>
      </w:pPr>
      <w:r>
        <w:t>联合公布网络数据安全风险评估办法</w:t>
      </w:r>
    </w:p>
    <w:p>
      <w:pPr>
        <w:spacing w:before="0" w:after="80"/>
        <w:pBdr>
          <w:bottom w:val="single" w:sz="4" w:space="1" w:color="DDDDDD"/>
        </w:pBdr>
      </w:pPr>
    </w:p>
    <w:p>
      <w:r>
        <w:rPr>
          <w:b/>
          <w:sz w:val="24"/>
        </w:rPr>
        <w:t>《工业和信息化部等八部门印发《关于推动工业互联网高质量发展的实施意见》》</w:t>
      </w:r>
    </w:p>
    <w:p>
      <w:r>
        <w:rPr>
          <w:color w:val="646464"/>
          <w:sz w:val="20"/>
        </w:rPr>
        <w:t>文　　号：暂无</w:t>
        <w:br/>
        <w:t>发文机关：工业和信息化部等八部门</w:t>
        <w:br/>
        <w:t>发文日期：2026-06-29</w:t>
        <w:br/>
        <w:t>原文链接：https://wap.miit.gov.cn/zwgk/zcwj/wjfb/tz/index.html</w:t>
      </w:r>
    </w:p>
    <w:p>
      <w:pPr>
        <w:ind w:left="240"/>
      </w:pPr>
      <w:r>
        <w:t>八部门联合推动工业互联网高质量发展</w:t>
      </w:r>
    </w:p>
    <w:p>
      <w:pPr>
        <w:spacing w:before="0" w:after="80"/>
        <w:pBdr>
          <w:bottom w:val="single" w:sz="4" w:space="1" w:color="DDDDDD"/>
        </w:pBdr>
      </w:pPr>
    </w:p>
    <w:p>
      <w:r>
        <w:rPr>
          <w:b/>
          <w:sz w:val="24"/>
        </w:rPr>
        <w:t>《省发展改革委关于省政协十三届三次会议第678号提案的答复》</w:t>
      </w:r>
    </w:p>
    <w:p>
      <w:r>
        <w:rPr>
          <w:color w:val="646464"/>
          <w:sz w:val="20"/>
        </w:rPr>
        <w:t>文　　号：暂无</w:t>
        <w:br/>
        <w:t>发文机关：浙江省发展和改革委员会</w:t>
        <w:br/>
        <w:t>发文日期：2026-06-25</w:t>
      </w:r>
    </w:p>
    <w:p>
      <w:pPr>
        <w:ind w:left="240"/>
      </w:pPr>
      <w:r>
        <w:t>支持之江人工智能公共算力平台建设，提供普惠算力</w:t>
      </w:r>
    </w:p>
    <w:p>
      <w:pPr>
        <w:spacing w:before="0" w:after="80"/>
        <w:pBdr>
          <w:bottom w:val="single" w:sz="4" w:space="1" w:color="DDDDDD"/>
        </w:pBdr>
      </w:pPr>
    </w:p>
    <w:p>
      <w:r>
        <w:rPr>
          <w:b/>
          <w:sz w:val="24"/>
        </w:rPr>
        <w:t>《制造业数字化转型专区 - 深圳市工业和信息化局网站》</w:t>
      </w:r>
    </w:p>
    <w:p>
      <w:r>
        <w:rPr>
          <w:color w:val="646464"/>
          <w:sz w:val="20"/>
        </w:rPr>
        <w:t>文　　号：暂无</w:t>
        <w:br/>
        <w:t>发文机关：深圳市工业和信息化局</w:t>
        <w:br/>
        <w:t>发文日期：2026-06-12</w:t>
        <w:br/>
        <w:t>原文链接：http://gxj.sz.gov.cn/ztfw/ztzl/zzyszhzx/index.html</w:t>
      </w:r>
    </w:p>
    <w:p>
      <w:pPr>
        <w:ind w:left="240"/>
      </w:pPr>
      <w:r>
        <w:t>发布制造业数字化转型互联互通技术要求等</w:t>
      </w:r>
    </w:p>
    <w:p>
      <w:pPr>
        <w:spacing w:before="0" w:after="80"/>
        <w:pBdr>
          <w:bottom w:val="single" w:sz="4" w:space="1" w:color="DDDDDD"/>
        </w:pBdr>
      </w:pPr>
    </w:p>
    <w:p>
      <w:r>
        <w:rPr>
          <w:b/>
          <w:sz w:val="24"/>
        </w:rPr>
        <w:t>《江门市工业和信息化局关于公布江门市国家级中小企业数字化转型城市试点数字化产品清单（更新至第十三批）的通知》</w:t>
      </w:r>
    </w:p>
    <w:p>
      <w:r>
        <w:rPr>
          <w:color w:val="646464"/>
          <w:sz w:val="20"/>
        </w:rPr>
        <w:t>文　　号：江工信工业互联网函〔2026〕63号</w:t>
        <w:br/>
        <w:t>发文机关：江门市工业和信息化局</w:t>
        <w:br/>
        <w:t>发文日期：2026-07-24</w:t>
        <w:br/>
        <w:t>原文链接：https://www.jiangmen.gov.cn/jmgxj/gkmlpt/mindex</w:t>
      </w:r>
    </w:p>
    <w:p>
      <w:pPr>
        <w:ind w:left="240"/>
      </w:pPr>
      <w:r>
        <w:t>公布中小企业数字化转型城市试点数字化产品清单</w:t>
      </w:r>
    </w:p>
    <w:p>
      <w:pPr>
        <w:spacing w:before="0" w:after="80"/>
        <w:pBdr>
          <w:bottom w:val="single" w:sz="4" w:space="1" w:color="DDDDDD"/>
        </w:pBdr>
      </w:pPr>
    </w:p>
    <w:p>
      <w:r>
        <w:rPr>
          <w:b/>
          <w:sz w:val="24"/>
        </w:rPr>
        <w:t>《2026年“人工智能+电竞创新应用大赛”正式启动》</w:t>
      </w:r>
    </w:p>
    <w:p>
      <w:r>
        <w:rPr>
          <w:color w:val="646464"/>
          <w:sz w:val="20"/>
        </w:rPr>
        <w:t>文　　号：暂无</w:t>
        <w:br/>
        <w:t>发文机关：广西壮族自治区大数据发展局</w:t>
        <w:br/>
        <w:t>发文日期：2026-07-15</w:t>
      </w:r>
    </w:p>
    <w:p>
      <w:pPr>
        <w:ind w:left="240"/>
      </w:pPr>
      <w:r>
        <w:t>广西举办人工智能+电竞创新应用大赛</w:t>
      </w:r>
    </w:p>
    <w:p>
      <w:pPr>
        <w:spacing w:before="0" w:after="80"/>
        <w:pBdr>
          <w:bottom w:val="single" w:sz="4" w:space="1" w:color="DDDDDD"/>
        </w:pBdr>
      </w:pPr>
    </w:p>
    <w:p>
      <w:r>
        <w:rPr>
          <w:b/>
          <w:sz w:val="24"/>
        </w:rPr>
        <w:t>《数据宝发布国内首个“数据·算力·Token”三合一AI基础设施平台》</w:t>
      </w:r>
    </w:p>
    <w:p>
      <w:r>
        <w:rPr>
          <w:color w:val="646464"/>
          <w:sz w:val="20"/>
        </w:rPr>
        <w:t>文　　号：暂无</w:t>
        <w:br/>
        <w:t>发文机关：数据宝（贵安新区企业）</w:t>
        <w:br/>
        <w:t>发文日期：2026-07-20</w:t>
      </w:r>
    </w:p>
    <w:p>
      <w:pPr>
        <w:ind w:left="240"/>
      </w:pPr>
      <w:r>
        <w:t>发布国内首个数据·算力·Token三合一AI基础设施平台</w:t>
      </w:r>
    </w:p>
    <w:p>
      <w:pPr>
        <w:spacing w:before="0" w:after="80"/>
        <w:pBdr>
          <w:bottom w:val="single" w:sz="4" w:space="1" w:color="DDDDDD"/>
        </w:pBdr>
      </w:pPr>
    </w:p>
    <w:p>
      <w:r>
        <w:rPr>
          <w:b/>
          <w:sz w:val="24"/>
        </w:rPr>
        <w:t>《关于发布生成式人工智能服务已备案信息的公告(2026年5月至6月)》</w:t>
      </w:r>
    </w:p>
    <w:p>
      <w:r>
        <w:rPr>
          <w:color w:val="646464"/>
          <w:sz w:val="20"/>
        </w:rPr>
        <w:t>文　　号：暂无</w:t>
        <w:br/>
        <w:t>发文机关：中央网络安全和信息化委员会办公室</w:t>
        <w:br/>
        <w:t>发文日期：2026-07-10</w:t>
        <w:br/>
        <w:t>原文链接：https://www.cac.gov.cn/wxzw/wxfb/A093702index_1.htm</w:t>
      </w:r>
    </w:p>
    <w:p>
      <w:pPr>
        <w:ind w:left="240"/>
      </w:pPr>
      <w:r>
        <w:t>公布2026年5月至6月生成式AI服务备案信息</w:t>
      </w:r>
    </w:p>
    <w:p>
      <w:pPr>
        <w:spacing w:before="0" w:after="80"/>
        <w:pBdr>
          <w:bottom w:val="single" w:sz="4" w:space="1" w:color="DDDDDD"/>
        </w:pBdr>
      </w:pPr>
    </w:p>
    <w:p>
      <w:r>
        <w:rPr>
          <w:b/>
          <w:sz w:val="24"/>
        </w:rPr>
        <w:t>《工业和信息化部办公厅关于公布2025年物联网赋能行业发展典型案例名单的通知》</w:t>
      </w:r>
    </w:p>
    <w:p>
      <w:r>
        <w:rPr>
          <w:color w:val="646464"/>
          <w:sz w:val="20"/>
        </w:rPr>
        <w:t>文　　号：暂无</w:t>
        <w:br/>
        <w:t>发文机关：工业和信息化部办公厅</w:t>
        <w:br/>
        <w:t>发文日期：2026-07-01</w:t>
        <w:br/>
        <w:t>原文链接：https://wap.miit.gov.cn/zwgk/zcwj/wjfb/tz/index.html</w:t>
      </w:r>
    </w:p>
    <w:p>
      <w:pPr>
        <w:ind w:left="240"/>
      </w:pPr>
      <w:r>
        <w:t>公布2025年物联网赋能行业发展典型案例名单</w:t>
      </w:r>
    </w:p>
    <w:p>
      <w:pPr>
        <w:spacing w:before="0" w:after="80"/>
        <w:pBdr>
          <w:bottom w:val="single" w:sz="4" w:space="1" w:color="DDDDDD"/>
        </w:pBdr>
      </w:pPr>
    </w:p>
    <w:p/>
    <w:p>
      <w:pPr>
        <w:pStyle w:val="Heading1"/>
      </w:pPr>
      <w:r>
        <w:rPr>
          <w:color w:val="5B6DE4"/>
          <w:sz w:val="28"/>
        </w:rPr>
        <w:t>三、今年以来主要政策</w:t>
      </w:r>
    </w:p>
    <w:p>
      <w:r>
        <w:rPr>
          <w:b/>
          <w:sz w:val="24"/>
        </w:rPr>
        <w:t>《工业和信息化部办公厅关于开展普惠算力赋能中小企业发展专项行动的通知》</w:t>
      </w:r>
    </w:p>
    <w:p>
      <w:r>
        <w:rPr>
          <w:color w:val="646464"/>
          <w:sz w:val="20"/>
        </w:rPr>
        <w:t>文　　号：暂无</w:t>
        <w:br/>
        <w:t>发文机关：工业和信息化部办公厅</w:t>
        <w:br/>
        <w:t>发文日期：2026-04-03</w:t>
        <w:br/>
        <w:t>原文链接：https://gyxxh.tj.gov.cn/ZWGK4147/ZCWJ6355/gjjwj/202604/t20260403_7275768.html</w:t>
      </w:r>
    </w:p>
    <w:p>
      <w:pPr>
        <w:ind w:left="240"/>
      </w:pPr>
      <w:r>
        <w:t>开展普惠算力赋能中小企业发展专项行动</w:t>
      </w:r>
    </w:p>
    <w:p>
      <w:pPr>
        <w:spacing w:before="0" w:after="80"/>
        <w:pBdr>
          <w:bottom w:val="single" w:sz="4" w:space="1" w:color="DDDDDD"/>
        </w:pBdr>
      </w:pPr>
    </w:p>
    <w:p>
      <w:r>
        <w:rPr>
          <w:b/>
          <w:sz w:val="24"/>
        </w:rPr>
        <w:t>《河南省通信管理局安排部署2026年新基建、算力和人工智能发展、5G规模化应用》</w:t>
      </w:r>
    </w:p>
    <w:p>
      <w:r>
        <w:rPr>
          <w:color w:val="646464"/>
          <w:sz w:val="20"/>
        </w:rPr>
        <w:t>文　　号：暂无</w:t>
        <w:br/>
        <w:t>发文机关：河南省通信管理局</w:t>
        <w:br/>
        <w:t>发文日期：2026-04-10</w:t>
        <w:br/>
        <w:t>原文链接：https://hca.miit.gov.cn/xwdt/gzdt/art/2026/art_50acca1f9bdf441db1f0abd4f497e7e9.html</w:t>
      </w:r>
    </w:p>
    <w:p>
      <w:pPr>
        <w:ind w:left="240"/>
      </w:pPr>
      <w:r>
        <w:t>河南部署新基建、算力和人工智能发展、5G应用</w:t>
      </w:r>
    </w:p>
    <w:p>
      <w:pPr>
        <w:spacing w:before="0" w:after="80"/>
        <w:pBdr>
          <w:bottom w:val="single" w:sz="4" w:space="1" w:color="DDDDDD"/>
        </w:pBdr>
      </w:pPr>
    </w:p>
    <w:p>
      <w:r>
        <w:rPr>
          <w:b/>
          <w:sz w:val="24"/>
        </w:rPr>
        <w:t>《深圳市工业和信息化局关于发布2026年企业技术改造传统优势产业数字化转型项目申报的通知》</w:t>
      </w:r>
    </w:p>
    <w:p>
      <w:r>
        <w:rPr>
          <w:color w:val="646464"/>
          <w:sz w:val="20"/>
        </w:rPr>
        <w:t>文　　号：暂无</w:t>
        <w:br/>
        <w:t>发文机关：深圳市工业和信息化局</w:t>
        <w:br/>
        <w:t>发文日期：2026-02-09</w:t>
        <w:br/>
        <w:t>原文链接：http://www.sz.gov.cn/szzt2010/wgkzl/jcgk/jcygk/zdzcjc/content/post_12639381.html</w:t>
      </w:r>
    </w:p>
    <w:p>
      <w:pPr>
        <w:ind w:left="240"/>
      </w:pPr>
      <w:r>
        <w:t>深圳发布2026年企业技术改造数字化转型项目申报</w:t>
      </w:r>
    </w:p>
    <w:p>
      <w:pPr>
        <w:spacing w:before="0" w:after="80"/>
        <w:pBdr>
          <w:bottom w:val="single" w:sz="4" w:space="1" w:color="DDDDDD"/>
        </w:pBdr>
      </w:pPr>
    </w:p>
    <w:p>
      <w:r>
        <w:rPr>
          <w:b/>
          <w:sz w:val="24"/>
        </w:rPr>
        <w:t>《福州市工业和信息化局 福州市财政局关于组织开展2026年工业互联网专项资金申报工作的通知》</w:t>
      </w:r>
    </w:p>
    <w:p>
      <w:r>
        <w:rPr>
          <w:color w:val="646464"/>
          <w:sz w:val="20"/>
        </w:rPr>
        <w:t>文　　号：暂无</w:t>
        <w:br/>
        <w:t>发文机关：福州市工业和信息化局、福州市财政局</w:t>
        <w:br/>
        <w:t>发文日期：2026-03-26</w:t>
        <w:br/>
        <w:t>原文链接：https://www.fuzhou.gov.cn/zgfzzt/sjxw/zfxxgkzl/zc/xzgfxwj/202603/t20260326_5301054.htm</w:t>
      </w:r>
    </w:p>
    <w:p>
      <w:pPr>
        <w:ind w:left="240"/>
      </w:pPr>
      <w:r>
        <w:t>福州组织开展2026年工业互联网专项资金申报</w:t>
      </w:r>
    </w:p>
    <w:p>
      <w:pPr>
        <w:spacing w:before="0" w:after="80"/>
        <w:pBdr>
          <w:bottom w:val="single" w:sz="4" w:space="1" w:color="DDDDDD"/>
        </w:pBdr>
      </w:pPr>
    </w:p>
    <w:p>
      <w:r>
        <w:rPr>
          <w:b/>
          <w:sz w:val="24"/>
        </w:rPr>
        <w:t>《关于开展零碳工厂建设工作的指导意见》</w:t>
      </w:r>
    </w:p>
    <w:p>
      <w:r>
        <w:rPr>
          <w:color w:val="646464"/>
          <w:sz w:val="20"/>
        </w:rPr>
        <w:t>文　　号：工信部联节〔2026〕13号</w:t>
        <w:br/>
        <w:t>发文机关：工业和信息化部</w:t>
        <w:br/>
        <w:t>发文日期：2026-01-01</w:t>
        <w:br/>
        <w:t>原文链接：https://www.miit.gov.cn/search/wjfb.html?websiteid=110000000000000&amp;tpl=14&amp;category=51</w:t>
      </w:r>
    </w:p>
    <w:p>
      <w:pPr>
        <w:ind w:left="240"/>
      </w:pPr>
      <w:r>
        <w:t>开展零碳工厂（含零碳算力设施）建设工作</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中国对生成式AI的监管进入常态化备案与专项治理并行阶段。2026年7月，网信办发布5-6月生成式AI服务备案公告，同时出台《人工智能拟人化互动服务管理暂行办法》，标志着监管从通用大模型向具体应用场景（如拟人化互动）延伸。逻辑在于：随着AI应用渗透率提升，风险点从技术本身转向人机交互伦理与安全。研判：未来将出现更多针对特定场景（如教育、医疗、金融）的AI监管细则，企业需建立场景化合规能力。</w:t>
      </w:r>
    </w:p>
    <w:p>
      <w:r>
        <w:rPr>
          <w:b/>
          <w:color w:val="5B6DE4"/>
        </w:rPr>
        <w:t xml:space="preserve">②  </w:t>
      </w:r>
      <w:r>
        <w:t>趋势2：算力政策从“建设”转向“普惠”与“绿色”双轮驱动。工信部4月启动普惠算力赋能中小企业专项行动，7月又推动零碳算力设施建设，体现政策重心从扩大算力规模转向优化使用效率与可持续性。逻辑在于：算力供给过剩与中小企业用不起、用不好的矛盾凸显，同时“双碳”目标倒逼算力基础设施绿色化。研判：算力调度平台、绿色数据中心技术将成为下一阶段投资与政策扶持重点。</w:t>
      </w:r>
    </w:p>
    <w:p>
      <w:r>
        <w:rPr>
          <w:b/>
          <w:color w:val="5B6DE4"/>
        </w:rPr>
        <w:t xml:space="preserve">③  </w:t>
      </w:r>
      <w:r>
        <w:t>趋势3：工业互联网政策体系加速成型，地方配套资金密集落地。6月29日八部门联合发布《关于推动工业互联网高质量发展的实施意见》，随后福州、江门等地迅速出台专项资金申报通知。逻辑在于：工业互联网已从概念验证进入规模化推广阶段，需要中央定方向、地方出资金、企业出场景的协同机制。研判：2026年下半年将迎来工业互联网平台与解决方案的集中采购潮，中小企业数字化转型将成主战场。</w:t>
      </w:r>
    </w:p>
    <w:p>
      <w:r>
        <w:rPr>
          <w:b/>
          <w:color w:val="5B6DE4"/>
        </w:rPr>
        <w:t xml:space="preserve">④  </w:t>
      </w:r>
      <w:r>
        <w:t>趋势4：数据安全治理从“原则性要求”迈向“可操作标准”。6月18日三部门联合公布《网络数据安全风险评估办法》，同日发布《实施网络安全标识的产品目录（第一批）》，将数据安全要求具体化为产品标识与评估流程。逻辑在于：数据安全法、个人信息保护法等上位法需要落地抓手，风险评估与标识制度是合规闭环的关键。研判：数据安全评估服务市场将快速增长，第三方评估机构资质认证需求迫切。</w:t>
      </w:r>
    </w:p>
    <w:p>
      <w:r>
        <w:rPr>
          <w:b/>
          <w:color w:val="5B6DE4"/>
        </w:rPr>
        <w:t xml:space="preserve">⑤  </w:t>
      </w:r>
      <w:r>
        <w:t>趋势5：地方算力与AI产业规划呈现“集群化+差异化”竞争格局。浙江支持之江平台建设混合万卡集群，天津、河北分别发布算力产业方案，广西则聚焦AI+电竞等特色应用。逻辑在于：国家“东数西算”工程引导算力资源区域布局，各地根据自身产业基础选择差异化赛道（浙江侧重科研、河北侧重京津冀协同、广西侧重应用创新）。研判：算力资源跨区域调度与交易机制将成为下一轮政策突破点，避免重复建设与资源浪费。</w:t>
      </w:r>
    </w:p>
    <w:p>
      <w:r>
        <w:rPr>
          <w:b/>
          <w:color w:val="5B6DE4"/>
        </w:rPr>
        <w:t xml:space="preserve">⑥  </w:t>
      </w:r>
      <w:r>
        <w:t>趋势6（国际比较）：中国AI治理强调“安全可控”与“国际合作”并行，与欧盟的“风险分级”和美国的“自愿承诺”形成差异。中国7月施行《人工智能拟人化互动服务管理暂行办法》，同时积极参与APEC《成都声明》推动全球治理共识；欧盟AI Act已进入执行阶段，侧重风险分类与合规成本；美国则依赖行政令与行业自律。逻辑在于：中国更注重政府主导的底线管理，欧盟侧重法律刚性约束，美国偏好市场弹性。研判：中国模式在发展中国家更具借鉴意义，但需警惕过度监管抑制创新，未来可能借鉴欧盟风险分级思路进行动态调整。</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