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生成日期：2026-06-11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《2026数智化转型创新推进大会发布数字化转型标准应用成果》</w:t>
      </w:r>
    </w:p>
    <w:p>
      <w:r>
        <w:rPr>
          <w:color w:val="646464"/>
          <w:sz w:val="20"/>
        </w:rPr>
        <w:t>文　　号：暂无</w:t>
        <w:br/>
        <w:t>发文机关：2026数智化转型创新推进大会</w:t>
        <w:br/>
        <w:t>发文日期：2026-06-06</w:t>
        <w:br/>
        <w:t>原文链接：https://news.sina.com.cn/sx/2026-06-06/detail-iniamtit8895526.shtml</w:t>
      </w:r>
    </w:p>
    <w:p>
      <w:pPr>
        <w:ind w:left="240"/>
      </w:pPr>
      <w:r>
        <w:t>发布数字化转型参考架构国家标准应用推广等四大成果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国家数据局局长调研数据要素市场化配置改革进展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《第五届全国信息技术标准化技术委员会第一次全体会议在京召开》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发文日期：2026-06-01</w:t>
        <w:br/>
        <w:t>原文链接：https://www.miit.gov.cn/xbymdz/xwfb/gxdt/</w:t>
      </w:r>
    </w:p>
    <w:p>
      <w:pPr>
        <w:ind w:left="240"/>
      </w:pPr>
      <w:r>
        <w:t>部署信息技术标准化工作，推动数字技术标准体系建设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发文日期：2026-05-21</w:t>
      </w:r>
    </w:p>
    <w:p>
      <w:pPr>
        <w:ind w:left="240"/>
      </w:pPr>
      <w:r>
        <w:t>部署8方面重点任务，加快数据产权登记与公共数据授权运营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《2026年全民数字素养与技能提升月启动》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发文日期：2026-05-19</w:t>
        <w:br/>
        <w:t>原文链接：https://www.cac.gov.cn/index.htm?id=11085dhmoi.html</w:t>
      </w:r>
    </w:p>
    <w:p>
      <w:pPr>
        <w:ind w:left="240"/>
      </w:pPr>
      <w:r>
        <w:t>提升全民数字素养，推动数字技能普及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《2026年中国网络文明大会在南宁举行》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发文日期：2026-05-19</w:t>
        <w:br/>
        <w:t>原文链接：https://www.zjwx.gov.cn/col/col1673580/</w:t>
      </w:r>
    </w:p>
    <w:p>
      <w:pPr>
        <w:ind w:left="240"/>
      </w:pPr>
      <w:r>
        <w:t>聚焦网络文明建设，推动数字社会健康发展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发文日期：2026-05-08</w:t>
        <w:br/>
        <w:t>原文链接：https://www.cac.gov.cn/wxzw/zcfg/A093703index_1.htm?pageId=0&amp;wfwfid=7967</w:t>
      </w:r>
    </w:p>
    <w:p>
      <w:pPr>
        <w:ind w:left="240"/>
      </w:pPr>
      <w:r>
        <w:t>规范智能体应用，推动人工智能产业创新发展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《2026年人工智能技术赋能网络安全应用测试公告》</w:t>
      </w:r>
    </w:p>
    <w:p>
      <w:r>
        <w:rPr>
          <w:color w:val="646464"/>
          <w:sz w:val="20"/>
        </w:rPr>
        <w:t>文　　号：暂无</w:t>
        <w:br/>
        <w:t>发文机关：中央网信办</w:t>
        <w:br/>
        <w:t>发文日期：2026-05-08</w:t>
        <w:br/>
        <w:t>原文链接：https://www.zjwx.gov.cn/col/col1673580/</w:t>
      </w:r>
    </w:p>
    <w:p>
      <w:pPr>
        <w:ind w:left="240"/>
      </w:pPr>
      <w:r>
        <w:t>推动AI技术在网络安全领域的测试与应用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《2026年数据要素×大赛通知发布》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发文日期：2026-04-30</w:t>
      </w:r>
    </w:p>
    <w:p>
      <w:pPr>
        <w:ind w:left="240"/>
      </w:pPr>
      <w:r>
        <w:t>举办数据要素大赛，发挥数据要素乘数效应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《两部门关于联合实施2026年模数共振行动的通知》</w:t>
      </w:r>
    </w:p>
    <w:p>
      <w:r>
        <w:rPr>
          <w:color w:val="646464"/>
          <w:sz w:val="20"/>
        </w:rPr>
        <w:t>文　　号：暂无</w:t>
        <w:br/>
        <w:t>发文机关：工业和信息化部、国家数据局</w:t>
        <w:br/>
        <w:t>发文日期：2026-04-28</w:t>
        <w:br/>
        <w:t>原文链接：http://xxzx.mwr.gov.cn/xxhhygl/bwdt/202604/t20260430_2109346.html</w:t>
      </w:r>
    </w:p>
    <w:p>
      <w:pPr>
        <w:ind w:left="240"/>
      </w:pPr>
      <w:r>
        <w:t>推动人工智能模型与数据资源协同互促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：数据要素市场化配置改革进入深水区。国家数据局局长刘烈宏近期密集调研温州、深圳、东莞等地，聚焦数据要素市场化配置改革，同时《2026年数字经济发展工作要点》明确加快建立全国统一数据产权登记制度。这表明顶层设计正从宏观框架转向地方试点与制度落地并行的阶段。下一步，各地将加速出台公共数据授权运营价格形成机制，但数据确权与收益分配的争议可能成为改革阻力，需关注配套法律修订进展。</w:t>
      </w:r>
    </w:p>
    <w:p>
      <w:r>
        <w:rPr>
          <w:b/>
          <w:color w:val="5B6DE4"/>
        </w:rPr>
        <w:t xml:space="preserve">②  </w:t>
      </w:r>
      <w:r>
        <w:t>趋势2：人工智能与数据资源的协同互促成为政策新焦点。工信部与国家数据局联合实施2026年“模数共振”行动，旨在推动AI模型与数据资源同频共振，这是继“数据要素×”之后又一跨部门协同举措。其逻辑在于：高质量数据是AI模型性能提升的关键瓶颈，而AI又能反向驱动数据治理效率。预计后续将出台更多行业级数据开放标准，并可能将数据质量纳入AI模型评测体系，倒逼企业提升数据治理水平。</w:t>
      </w:r>
    </w:p>
    <w:p>
      <w:r>
        <w:rPr>
          <w:b/>
          <w:color w:val="5B6DE4"/>
        </w:rPr>
        <w:t xml:space="preserve">③  </w:t>
      </w:r>
      <w:r>
        <w:t>趋势3：地方算力基础设施布局从“规模扩张”转向“一体化协同”。天津、山西、青岛等地近期发布的算力或数字经济规划，均强调通用算力、智能算力、超级算力的一体化布局，以及算力与数据、算法的协同应用。这反映出国家“东数西算”工程正从单纯的算力枢纽建设，转向跨区域算力调度与行业赋能。未来，算力网络标准化和算力并网机制将成为关键，但东西部网络时延与数据主权问题仍需技术突破。</w:t>
      </w:r>
    </w:p>
    <w:p>
      <w:r>
        <w:rPr>
          <w:b/>
          <w:color w:val="5B6DE4"/>
        </w:rPr>
        <w:t xml:space="preserve">④  </w:t>
      </w:r>
      <w:r>
        <w:t>趋势4：数字化转型标准应用进入规模化推广阶段。2026数智化转型创新推进大会发布了《数字化转型参考架构国家标准应用推广成果报告》及分类指引，标志着数字化转型从企业自发探索转向标准化、可复制的制度供给。工信部同期公布首批制造业数字化转型标杆单位，意在通过标杆示范带动全行业。下一步，标准应用将向中小企业渗透，但中小企业的资金与技术短板可能制约推广效果，需配套专项补贴与轻量化工具。</w:t>
      </w:r>
    </w:p>
    <w:p>
      <w:r>
        <w:rPr>
          <w:b/>
          <w:color w:val="5B6DE4"/>
        </w:rPr>
        <w:t xml:space="preserve">⑤  </w:t>
      </w:r>
      <w:r>
        <w:t>趋势5：智能体治理体系加速构建，安全与创新平衡成核心挑战。中央网信办5月发布《智能体规范应用与创新发展实施意见》及系列专家解读，首次系统提出智能体治理框架。其背景是生成式AI与自主智能体的快速普及带来虚假信息、算法歧视等风险。政策意图在于“以规范促发展”，通过分级分类监管引导产业健康有序发展。预计后续将出台智能体备案制与安全评估细则，但过度监管可能抑制创新活力，需动态调整监管阈值。</w:t>
      </w:r>
    </w:p>
    <w:p>
      <w:r>
        <w:rPr>
          <w:b/>
          <w:color w:val="5B6DE4"/>
        </w:rPr>
        <w:t xml:space="preserve">⑥  </w:t>
      </w:r>
      <w:r>
        <w:t>趋势6（国际比较）：中国“模数共振”行动与欧盟AI Act、日本AI政策形成差异化路径。欧盟AI Act侧重基于风险的分级监管，对高风险AI系统施加严格合规义务；日本则通过“AI战略2025”强调产业应用与人才培养。中国的“模数共振”行动更强调数据与模型的协同供给，以产业政策驱动技术突破。三者对比：欧盟重安全合规，日本重应用生态，中国重基础设施与数据要素。启示在于，中国需在强化数据治理的同时，避免因过度强调数据安全而阻碍跨境数据流动，可借鉴欧盟的“风险分级”思路优化监管弹性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