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生成日期：2026-06-25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明确网络数据安全风险评估机制与流程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《以‘小快灵’立法规范人工智能拟人化互动服务》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针对AI拟人化服务提出快速立法规范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《两部门关于联合开展2026年度人形机器人与具身智能实景实训专项行动的通知》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发文日期：2026-06-16</w:t>
        <w:br/>
        <w:t>原文链接：https://www.miit.gov.cn/wzpz/sylb/index.html</w:t>
      </w:r>
    </w:p>
    <w:p>
      <w:pPr>
        <w:ind w:left="240"/>
      </w:pPr>
      <w:r>
        <w:t>推动人形机器人与具身智能技术实训应用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《互联网信息内容多渠道分发服务管理规定》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规范互联网内容多渠道分发服务行为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《2026年提升全民数字素养与技能工作要点》</w:t>
      </w:r>
    </w:p>
    <w:p>
      <w:r>
        <w:rPr>
          <w:color w:val="646464"/>
          <w:sz w:val="20"/>
        </w:rPr>
        <w:t>文　　号：暂无</w:t>
        <w:br/>
        <w:t>发文机关：中央网信办等四部门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部署年度数字素养提升重点任务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《刘烈宏出席数据安全发展大会开幕式并启动2026年‘数据要素×’大赛》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启动数据要素大赛，促进数据应用创新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《刘烈宏主持召开词元经济座谈会》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探讨词元经济模式与数据要素价值释放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《深入推进数字中国建设专题研究班在深圳开班》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发文日期：2026-05-27</w:t>
        <w:br/>
        <w:t>原文链接：https://www.ndrc.gov.cn/fzggw/wld/llh/zyhd/index.html</w:t>
      </w:r>
    </w:p>
    <w:p>
      <w:pPr>
        <w:ind w:left="240"/>
      </w:pPr>
      <w:r>
        <w:t>培训数字中国建设骨干力量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《广东省2026年支持推动人工智能赋能新型工业化标杆项目入库储备工作通知》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发文日期：2026-06-01</w:t>
        <w:br/>
        <w:t>原文链接：http://www.jiangmen.gov.cn/jmgxj/attachment/0/349/349704/3350943.pdf</w:t>
      </w:r>
    </w:p>
    <w:p>
      <w:pPr>
        <w:ind w:left="240"/>
      </w:pPr>
      <w:r>
        <w:t>组织AI赋能新型工业化项目入库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《网络测评活动规范》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发文日期：2026-06-08</w:t>
        <w:br/>
        <w:t>原文链接：https://www.cac.gov.cn/wxzw/wxfb/A093702index_1.htm</w:t>
      </w:r>
    </w:p>
    <w:p>
      <w:pPr>
        <w:ind w:left="240"/>
      </w:pPr>
      <w:r>
        <w:t>规范网络测评活动，防止数据滥用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《刘烈宏赴温州市、深圳市、东莞市调研数据要素市场化配置改革工作》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发文机关：国家发展和改革委员会</w:t>
        <w:br/>
        <w:t>发文日期：2026-06-01</w:t>
        <w:br/>
        <w:t>原文链接：https://www.ndrc.gov.cn/fzggw/wld/llh/zyhd/index.html</w:t>
      </w:r>
    </w:p>
    <w:p>
      <w:pPr>
        <w:ind w:left="240"/>
      </w:pPr>
      <w:r>
        <w:t>调研数据要素市场化配置改革进展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《人工智能+信息通信创新发展实施意见（2026—2028年）》</w:t>
      </w:r>
    </w:p>
    <w:p>
      <w:r>
        <w:rPr>
          <w:color w:val="646464"/>
          <w:sz w:val="20"/>
        </w:rPr>
        <w:t>文　　号：暂无</w:t>
        <w:br/>
        <w:t>发文机关：湖北省通信管理局</w:t>
        <w:br/>
        <w:t>发文日期：2026-06-03</w:t>
        <w:br/>
        <w:t>原文链接：https://hubca.miit.gov.cn/zwgk/zcwj/wjfb/art/2026/art_1a6880738cfc4235afeda815d6ae8ab4.html</w:t>
      </w:r>
    </w:p>
    <w:p>
      <w:pPr>
        <w:ind w:left="240"/>
      </w:pPr>
      <w:r>
        <w:t>推动AI与信息通信融合创新，明确三年目标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《促进平台经济大中小企业协同发展行动方案》</w:t>
      </w:r>
    </w:p>
    <w:p>
      <w:r>
        <w:rPr>
          <w:color w:val="646464"/>
          <w:sz w:val="20"/>
        </w:rPr>
        <w:t>文　　号：工信部联信管〔2026〕119号</w:t>
        <w:br/>
        <w:t>发文机关：工业和信息化部</w:t>
        <w:br/>
        <w:t>发文日期：2026-06-01</w:t>
        <w:br/>
        <w:t>原文链接：https://www.miit.gov.cn/search/zcwjk.html?websiteid=110000000000000&amp;tpl=14&amp;category=183</w:t>
      </w:r>
    </w:p>
    <w:p>
      <w:pPr>
        <w:ind w:left="240"/>
      </w:pPr>
      <w:r>
        <w:t>推动平台经济大中小企业融通发展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《工业互联网和人工智能融合赋能行动方案》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发文日期：2026-01-01</w:t>
        <w:br/>
        <w:t>原文链接：https://www.cics-cert.org.cn/web_root/webpage/articlecontent_110027_2038865719046705154.html</w:t>
      </w:r>
    </w:p>
    <w:p>
      <w:pPr>
        <w:ind w:left="240"/>
      </w:pPr>
      <w:r>
        <w:t>推动工业互联网与人工智能深度融合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《上海市2026年制造业智能化发展项目申报指南》</w:t>
      </w:r>
    </w:p>
    <w:p>
      <w:r>
        <w:rPr>
          <w:color w:val="646464"/>
          <w:sz w:val="20"/>
        </w:rPr>
        <w:t>文　　号：暂无</w:t>
        <w:br/>
        <w:t>发文机关：上海市经济和信息化委员会</w:t>
        <w:br/>
        <w:t>发文日期：2026-01-12</w:t>
        <w:br/>
        <w:t>原文链接：https://www.sheitc.sh.gov.cn/cyfz/20260112/11e3168ff89a4eeea2b1afd193c19418.html</w:t>
      </w:r>
    </w:p>
    <w:p>
      <w:pPr>
        <w:ind w:left="240"/>
      </w:pPr>
      <w:r>
        <w:t>支持AI、工业互联网赋能制造业智能化升级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：数据安全治理进入精细化、场景化阶段。近期《网络数据安全风险评估办法》与《网络测评活动规范》相继发布，表明监管从宏观框架转向具体操作场景。前者要求对数据处理活动进行系统性风险评估，后者则针对测评活动中的数据滥用风险设限。逻辑上，这是对数据要素市场化改革中‘安全底线’的补强，防止数据流通中的合规套利。研判：下一步将出台更多针对特定行业（如金融、医疗）的数据安全评估细则，企业需建立动态合规能力。</w:t>
      </w:r>
    </w:p>
    <w:p>
      <w:r>
        <w:rPr>
          <w:b/>
          <w:color w:val="5B6DE4"/>
        </w:rPr>
        <w:t xml:space="preserve">②  </w:t>
      </w:r>
      <w:r>
        <w:t>趋势2：人工智能立法走向‘小快灵’与领域化。网信办以‘小快灵’方式规范AI拟人化互动服务，标志着中国AI监管从综合性立法思路转向针对具体应用场景的快速响应。逻辑在于：大模型拟人化服务（如情感陪伴、虚拟主播）已引发伦理与安全争议，传统立法周期无法跟上技术迭代。研判：未来将有更多针对AI生成内容标识、深度合成、算法推荐的单项规范出台，形成‘领域立法+标准补充’的敏捷治理体系。</w:t>
      </w:r>
    </w:p>
    <w:p>
      <w:r>
        <w:rPr>
          <w:b/>
          <w:color w:val="5B6DE4"/>
        </w:rPr>
        <w:t xml:space="preserve">③  </w:t>
      </w:r>
      <w:r>
        <w:t>趋势3：算力基础设施布局从‘规模扩张’转向‘效能导向’。天津、山西等地2026年算力方案强调‘统筹通用、智能、超级算力一体化’，并开展‘算力强基揭榜行动’。逻辑在于：全国算力总规模已居全球第二，但算力利用率与能效比仍是短板，东数西算工程进入提质增效阶段。研判：算力调度平台、绿色算力标准、算力并网机制将成为政策重点，智能算力占比将持续提升。</w:t>
      </w:r>
    </w:p>
    <w:p>
      <w:r>
        <w:rPr>
          <w:b/>
          <w:color w:val="5B6DE4"/>
        </w:rPr>
        <w:t xml:space="preserve">④  </w:t>
      </w:r>
      <w:r>
        <w:t>趋势4：数据要素市场化改革加速落地，地方试点与全国大赛并行。国家数据局密集调研深圳、温州、东莞等地，并启动‘数据要素×’大赛，词元经济等新概念进入政策视野。逻辑在于：数据二十条后，各地数据交易所交易量仍偏低，需要通过场景竞赛和标杆项目激活供需。研判：数据资产入表、数据知识产权登记等配套制度将加快出台，2026年下半年可能出现首批数据要素流通的规模化案例。</w:t>
      </w:r>
    </w:p>
    <w:p>
      <w:r>
        <w:rPr>
          <w:b/>
          <w:color w:val="5B6DE4"/>
        </w:rPr>
        <w:t xml:space="preserve">⑤  </w:t>
      </w:r>
      <w:r>
        <w:t>趋势5：工业互联网与人工智能融合成为新型工业化核心抓手。工信部印发《工业互联网和人工智能融合赋能行动方案》，广东、上海等地同步启动AI赋能新型工业化项目入库。逻辑在于：制造业数字化转型已进入深水区，单纯连接设备无法产生质变，需通过AI实现工艺优化、质量检测、供应链预测等智能决策。研判：工业大模型、工业智能体将成为下一轮政策扶持重点，但需警惕中小企业‘不敢用、用不起’的落地鸿沟。</w:t>
      </w:r>
    </w:p>
    <w:p>
      <w:r>
        <w:rPr>
          <w:b/>
          <w:color w:val="5B6DE4"/>
        </w:rPr>
        <w:t xml:space="preserve">⑥  </w:t>
      </w:r>
      <w:r>
        <w:t>趋势6：国际比较——中国‘领域敏捷立法’与欧盟‘风险分级框架’、美国‘自愿承诺’路径分化。中国近期以‘小快灵’方式规范AI拟人化服务，欧盟《AI法案》则基于风险分级（不可接受风险、高风险、有限风险等）实施全链条监管，美国仍以行政令和行业自愿承诺为主。逻辑差异：中国侧重快速回应社会关切与安全底线，欧盟强调系统性权利保障，美国偏好市场驱动。研判：中国模式在应对新兴应用风险时效率更高，但可能面临规则碎片化问题；欧盟模式合规成本高但可预期性强；美国模式灵活性高但约束力弱。三方路径将在G7、OECD等平台持续博弈，企业需建立多法域合规能力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