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生成日期：2026-10-05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《促进数字化绿色化协同转型发展实施方案（2026-2030年）》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部署数字化与绿色化协同转型，明确未来五年双化协同路径与重点任务。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号：国家网信办、工业和信息化部、公安部令第24号</w:t>
        <w:br/>
        <w:t>发文机关：国家互联网信息办公室、工业和信息化部、公安部</w:t>
        <w:br/>
        <w:t>发文日期：2026-08-20</w:t>
        <w:br/>
        <w:t>原文链接：https://www.gov.cn/gongbao/2026/issue_12946/202608/content_7079356.html</w:t>
      </w:r>
    </w:p>
    <w:p>
      <w:pPr>
        <w:ind w:left="240"/>
      </w:pPr>
      <w:r>
        <w:t>规范网络数据安全风险评估活动，自2026年8月20日起施行。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《中国数字乡村发展报告（2019—2025年）》</w:t>
      </w:r>
    </w:p>
    <w:p>
      <w:r>
        <w:rPr>
          <w:color w:val="646464"/>
          <w:sz w:val="20"/>
        </w:rPr>
        <w:t>文　　号：暂无</w:t>
        <w:br/>
        <w:t>发文机关：国家互联网信息办公室、农业农村部</w:t>
        <w:br/>
        <w:t>发文日期：2026-08-31</w:t>
        <w:br/>
        <w:t>原文链接：https://www.cac.gov.cn/wxzw/A0937index_1.htm</w:t>
      </w:r>
    </w:p>
    <w:p>
      <w:pPr>
        <w:ind w:left="240"/>
      </w:pPr>
      <w:r>
        <w:t>总结2019至2025年数字乡村建设成效，提出下一阶段发展重点。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发文日期：2026-08-19</w:t>
        <w:br/>
        <w:t>原文链接：https://www.cac.gov.cn/wxzw/A0937index_1.htm</w:t>
      </w:r>
    </w:p>
    <w:p>
      <w:pPr>
        <w:ind w:left="240"/>
      </w:pPr>
      <w:r>
        <w:t>通报个人信息保护专项行动阶段性成果，披露典型违规案例与整改情况。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部署IPv6技术创新与融合应用五年方案，推动下一代互联网规模部署。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四部门联合发文推动互联网基础资源高质量发展，强化域名、IP等资源管理。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《天津市算力产业发展实施方案（2024—2026年）》</w:t>
      </w:r>
    </w:p>
    <w:p>
      <w:r>
        <w:rPr>
          <w:color w:val="646464"/>
          <w:sz w:val="20"/>
        </w:rPr>
        <w:t>文　　号：暂无</w:t>
        <w:br/>
        <w:t>发文机关：天津市工业和信息化局</w:t>
        <w:br/>
        <w:t>发文日期：2024-07-22</w:t>
        <w:br/>
        <w:t>原文链接：https://gyxxh.tj.gov.cn/ZWGK4147/ZCWJ6355/sjwj/202407/t20240722_6681036.html</w:t>
      </w:r>
    </w:p>
    <w:p>
      <w:pPr>
        <w:ind w:left="240"/>
      </w:pPr>
      <w:r>
        <w:t>统筹通用、智能、超级算力一体化布局，打造京津冀算力产业高地。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8月《网络数据安全风险评估办法》以部门联合规章形式落地，明确风险评估为常态化义务，并配套发布答记者问。逻辑：这是《数据安全法》实施五年来从原则宣示走向可操作合规的关键一步，通过将评估义务具体化，把数据安全责任从“事后追责”前移到“事前预防”，同时为数据跨境流动提供安全基线。研判：预计2026年底前将出台配套评估标准与行业细则，金融、医疗、汽车数据密集型行业将率先面临合规检查压力，第三方评估机构市场将快速扩容，中小企业合规成本上升问题需关注。</w:t>
      </w:r>
    </w:p>
    <w:p>
      <w:r>
        <w:rPr>
          <w:b/>
          <w:color w:val="5B6DE4"/>
        </w:rPr>
        <w:t xml:space="preserve">②  </w:t>
      </w:r>
      <w:r>
        <w:t>现象：网信办9月发布《促进数字化绿色化协同转型发展实施方案（2026-2030年）》，将“双化协同”作为五年期制度安排。逻辑：算力扩张带来的能耗压力已成为硬约束，政策试图将数据中心能效、绿电消纳与数字化进程绑定，避免“东数西算”沦为高碳基建。研判：内蒙古、贵州、甘肃等枢纽节点将面临更严格的PUE与绿电占比考核，液冷、余热回收等技术路线获政策红利，但跨部门（网信、发改、能源）协调机制能否落地是最大变量。</w:t>
      </w:r>
    </w:p>
    <w:p>
      <w:r>
        <w:rPr>
          <w:b/>
          <w:color w:val="5B6DE4"/>
        </w:rPr>
        <w:t xml:space="preserve">③  </w:t>
      </w:r>
      <w:r>
        <w:t>现象：国家数据局成立后密集出台数据产业、企业数据、公共数据三份指导意见，2026年进入落地实施期。逻辑：数据要素市场化配置改革的核心矛盾已从“确权难”转向“流通难”，政策重心转向培育数据商和第三方服务机构，试图以产业生态带动流通。研判：2026年下半年数据交易所挂牌产品数量将显著增长，但数据资产入表后的估值泡沫与审计难题可能暴露，需警惕“数据财政”冲动下的地方重复建设。</w:t>
      </w:r>
    </w:p>
    <w:p>
      <w:r>
        <w:rPr>
          <w:b/>
          <w:color w:val="5B6DE4"/>
        </w:rPr>
        <w:t xml:space="preserve">④  </w:t>
      </w:r>
      <w:r>
        <w:t>现象：工信部7月发布《关于推动互联网基础资源高质量发展的指导意见》，四部门联合聚焦域名、IP、AS等底层资源。逻辑：在AI与算力需求爆发背景下，互联网基础资源已从技术议题上升为战略议题，政策意图在于强化对根镜像、顶级域名等关键环节的自主可控。研判：IPv6单栈部署将加速，但企业改造动力不足，建议关注后续是否出台强制性时间表；同时域名注册信息实名核验可能进一步收紧，影响跨境业务合规。</w:t>
      </w:r>
    </w:p>
    <w:p>
      <w:r>
        <w:rPr>
          <w:b/>
          <w:color w:val="5B6DE4"/>
        </w:rPr>
        <w:t xml:space="preserve">⑤  </w:t>
      </w:r>
      <w:r>
        <w:t>现象：2026年个人信息保护专项行动进入第三年，网信办8月通报阶段性成效，披露典型违规案例。逻辑：专项行动已从“运动式执法”转向“常态化监管”，通过定期通报形成威慑，同时为《个人信息保护法》实施提供案例积累。研判：App违规收集、人脸识别滥用仍是重灾区，下一步可能向智能汽车、智能家居等IoT场景延伸；企业需建立个人信息保护影响评估（PIA）常态化机制，而非应付检查。</w:t>
      </w:r>
    </w:p>
    <w:p>
      <w:r>
        <w:rPr>
          <w:b/>
          <w:color w:val="5B6DE4"/>
        </w:rPr>
        <w:t xml:space="preserve">⑥  </w:t>
      </w:r>
      <w:r>
        <w:t>现象：欧盟AI Act已进入分阶段实施期，GDPR执法持续加码；美国2026年大选后AI行政令走向待观察；日本数字厅推进AI治理框架但侧重产业促进。逻辑：中国以“标识办法+安全基本要求”构建事前合规体系，欧盟以风险分级+高额罚款为特征，美国偏重行业自律与出口管制，日本则强调“可信AI”与国际协调。研判：三种路径的竞争将影响全球AI治理标准走向，中国方案在内容标识领域具有先发优势，但在跨境数据流动与模型透明度方面与欧盟存在制度摩擦，企业出海需同时应对多重合规框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