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生成日期：2026-10-09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号：国家网信办、工业和信息化部、公安部令第24号</w:t>
        <w:br/>
        <w:t>发文机关：国家互联网信息办公室、工业和信息化部、公安部</w:t>
        <w:br/>
        <w:t>发文日期：2026-08-20</w:t>
        <w:br/>
        <w:t>原文链接：https://www.cac.gov.cn/</w:t>
      </w:r>
    </w:p>
    <w:p>
      <w:pPr>
        <w:ind w:left="240"/>
      </w:pPr>
      <w:r>
        <w:t>规范网络数据安全风险评估活动，明确评估主体、流程与法律责任，自2026年8月20日起施行。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部署双化协同转型五年任务，推动数字基础设施绿色化与重点行业数字化低碳改造。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提出数字乡村建设五年行动目标，涵盖乡村数字基建、数据要素与智慧农业应用。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《促进网信企业高质量发展行动计划（2026-2030年）》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原文链接：https://www.cac.gov.cn/wxzw/zcfg/zcwj/A09370306index_1.htm</w:t>
      </w:r>
    </w:p>
    <w:p>
      <w:pPr>
        <w:ind w:left="240"/>
      </w:pPr>
      <w:r>
        <w:t>面向网信企业部署创新能力、数据要素与合规经营等五年高质量发展任务。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</w:r>
    </w:p>
    <w:p>
      <w:pPr>
        <w:ind w:left="240"/>
      </w:pPr>
      <w:r>
        <w:t>四部门联合部署互联网基础资源高质量发展，强化域名、IP与算力网络协同。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发文机关：中央网络安全和信息化委员会办公室等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部署IPv6技术创新与行业融合应用五年任务，支撑算力网络与数据流通基础设施。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原文链接：https://cagd.gov.cn/c/a/12/1.html</w:t>
      </w:r>
    </w:p>
    <w:p>
      <w:pPr>
        <w:ind w:left="240"/>
      </w:pPr>
      <w:r>
        <w:t>针对小型个人信息处理者设定简化合规义务，降低中小主体个人信息保护合规成本。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发文机关：国家药品监督管理局药品审评中心</w:t>
        <w:br/>
        <w:t>发文日期：2026-09-22</w:t>
      </w:r>
    </w:p>
    <w:p>
      <w:pPr>
        <w:ind w:left="240"/>
      </w:pPr>
      <w:r>
        <w:t>明确药物临床试验电子数据计算机化系统要求，落实ALCOA++原则与数据可追溯。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《关于深入实施东数西算工程加快构建全国一体化算力网的意见》</w:t>
      </w:r>
    </w:p>
    <w:p>
      <w:r>
        <w:rPr>
          <w:color w:val="646464"/>
          <w:sz w:val="20"/>
        </w:rPr>
        <w:t>文　　号：暂无</w:t>
        <w:br/>
        <w:t>发文机关：国家发展改革委、国家数据局等</w:t>
        <w:br/>
        <w:t>发文日期：2026-03-01</w:t>
      </w:r>
    </w:p>
    <w:p>
      <w:pPr>
        <w:ind w:left="240"/>
      </w:pPr>
      <w:r>
        <w:t>部署全国一体化算力网建设，优化东数西算枢纽布局与算力调度机制。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《数据要素×三年行动计划（2024—2026年）收官推进通知》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发文日期：2026-02-01</w:t>
      </w:r>
    </w:p>
    <w:p>
      <w:pPr>
        <w:ind w:left="240"/>
      </w:pPr>
      <w:r>
        <w:t>推动数据要素×行动收官，聚焦工业、金融、交通等重点场景数据融合应用。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《生成式人工智能服务管理暂行办法实施配套指引》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发文日期：2026-04-01</w:t>
      </w:r>
    </w:p>
    <w:p>
      <w:pPr>
        <w:ind w:left="240"/>
      </w:pPr>
      <w:r>
        <w:t>细化生成式AI服务备案、语料安全与内容标识要求，强化大模型合规管理。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《关键信息基础设施安全保护条例实施细则》</w:t>
      </w:r>
    </w:p>
    <w:p>
      <w:r>
        <w:rPr>
          <w:color w:val="646464"/>
          <w:sz w:val="20"/>
        </w:rPr>
        <w:t>文　　号：暂无</w:t>
        <w:br/>
        <w:t>发文机关：国家互联网信息办公室等</w:t>
        <w:br/>
        <w:t>发文日期：2026-05-01</w:t>
      </w:r>
    </w:p>
    <w:p>
      <w:pPr>
        <w:ind w:left="240"/>
      </w:pPr>
      <w:r>
        <w:t>细化关基认定、安全检测与供应链风险管理要求，压实运营者主体责任。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《上海市数据要素市场高质量发展行动方案》</w:t>
      </w:r>
    </w:p>
    <w:p>
      <w:r>
        <w:rPr>
          <w:color w:val="646464"/>
          <w:sz w:val="20"/>
        </w:rPr>
        <w:t>文　　号：暂无</w:t>
        <w:br/>
        <w:t>发文机关：上海市人民政府</w:t>
        <w:br/>
        <w:t>发文日期：2026-03-15</w:t>
      </w:r>
    </w:p>
    <w:p>
      <w:pPr>
        <w:ind w:left="240"/>
      </w:pPr>
      <w:r>
        <w:t>上海部署数据要素市场建设，推进数据交易所、数据资产入表与跨境流动试点。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《广东省数字经济促进条例实施办法》</w:t>
      </w:r>
    </w:p>
    <w:p>
      <w:r>
        <w:rPr>
          <w:color w:val="646464"/>
          <w:sz w:val="20"/>
        </w:rPr>
        <w:t>文　　号：暂无</w:t>
        <w:br/>
        <w:t>发文机关：广东省人民政府</w:t>
        <w:br/>
        <w:t>发文日期：2026-04-20</w:t>
      </w:r>
    </w:p>
    <w:p>
      <w:pPr>
        <w:ind w:left="240"/>
      </w:pPr>
      <w:r>
        <w:t>广东细化数字经济促进条例，明确数据要素、工业互联网与数字化转型支持措施。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《浙江省数据要素市场化配置改革实施方案》</w:t>
      </w:r>
    </w:p>
    <w:p>
      <w:r>
        <w:rPr>
          <w:color w:val="646464"/>
          <w:sz w:val="20"/>
        </w:rPr>
        <w:t>文　　号：暂无</w:t>
        <w:br/>
        <w:t>发文机关：浙江省人民政府</w:t>
        <w:br/>
        <w:t>发文日期：2026-02-20</w:t>
      </w:r>
    </w:p>
    <w:p>
      <w:pPr>
        <w:ind w:left="240"/>
      </w:pPr>
      <w:r>
        <w:t>浙江推进数据要素市场化配置，探索数据产权、流通交易与收益分配机制。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《江苏省算力基础设施高质量发展行动计划》</w:t>
      </w:r>
    </w:p>
    <w:p>
      <w:r>
        <w:rPr>
          <w:color w:val="646464"/>
          <w:sz w:val="20"/>
        </w:rPr>
        <w:t>文　　号：暂无</w:t>
        <w:br/>
        <w:t>发文机关：江苏省工业和信息化厅</w:t>
        <w:br/>
        <w:t>发文日期：2026-03-10</w:t>
      </w:r>
    </w:p>
    <w:p>
      <w:pPr>
        <w:ind w:left="240"/>
      </w:pPr>
      <w:r>
        <w:t>江苏部署算力基础设施高质量发展，推进智能计算中心与算力调度平台建设。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《辽宁省数字政府建设三年行动方案》</w:t>
      </w:r>
    </w:p>
    <w:p>
      <w:r>
        <w:rPr>
          <w:color w:val="646464"/>
          <w:sz w:val="20"/>
        </w:rPr>
        <w:t>文　　号：暂无</w:t>
        <w:br/>
        <w:t>发文机关：辽宁省人民政府</w:t>
        <w:br/>
        <w:t>发文日期：2026-01-15</w:t>
      </w:r>
    </w:p>
    <w:p>
      <w:pPr>
        <w:ind w:left="240"/>
      </w:pPr>
      <w:r>
        <w:t>辽宁部署数字政府建设，推进政务数据共享、一网通办与数字基础设施升级。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《欧盟数据法案实施与数据共享规则》</w:t>
      </w:r>
    </w:p>
    <w:p>
      <w:r>
        <w:rPr>
          <w:color w:val="646464"/>
          <w:sz w:val="20"/>
        </w:rPr>
        <w:t>文　　号：Regulation (EU) 2023/2854</w:t>
        <w:br/>
        <w:t>发文机关：欧洲委员会</w:t>
        <w:br/>
        <w:t>发文日期：2026-01-11</w:t>
        <w:br/>
        <w:t>原文链接：https://commission.europa.eu/index_en</w:t>
      </w:r>
    </w:p>
    <w:p>
      <w:pPr>
        <w:ind w:left="240"/>
      </w:pPr>
      <w:r>
        <w:t>欧盟数据法案进入实施阶段，规范物联网数据共享与云服务切换权利。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《日本数字厅AI与数据治理推进计划》</w:t>
      </w:r>
    </w:p>
    <w:p>
      <w:r>
        <w:rPr>
          <w:color w:val="646464"/>
          <w:sz w:val="20"/>
        </w:rPr>
        <w:t>文　　号：暂无</w:t>
        <w:br/>
        <w:t>发文机关：日本数字厅</w:t>
        <w:br/>
        <w:t>发文日期：2026-02-01</w:t>
      </w:r>
    </w:p>
    <w:p>
      <w:pPr>
        <w:ind w:left="240"/>
      </w:pPr>
      <w:r>
        <w:t>日本数字厅部署AI与数据治理推进计划，推动行政数据标准化与AI应用。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《美国联邦数据战略与AI数据治理推进》</w:t>
      </w:r>
    </w:p>
    <w:p>
      <w:r>
        <w:rPr>
          <w:color w:val="646464"/>
          <w:sz w:val="20"/>
        </w:rPr>
        <w:t>文　　号：暂无</w:t>
        <w:br/>
        <w:t>发文机关：美国白宫管理与预算办公室</w:t>
        <w:br/>
        <w:t>发文日期：2026-03-01</w:t>
        <w:br/>
        <w:t>原文链接：https://www.whitehouse.gov/</w:t>
      </w:r>
    </w:p>
    <w:p>
      <w:pPr>
        <w:ind w:left="240"/>
      </w:pPr>
      <w:r>
        <w:t>美国推进联邦数据战略，强化AI训练数据治理、隐私保护与数据共享机制。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国家网信办、工信部、公安部联合公布《网络数据安全风险评估办法》（第24号令），自2026年8月20日起施行，明确评估主体、流程与法律责任。逻辑：这是数据安全法落地的重要配套，将风险评估从原则要求转为可操作的法定义务，意在把数据安全治理嵌入企业日常运营。研判：下一步评估标准与行业细则将陆续出台，中小企业合规成本上升，第三方评估机构市场将快速扩容，需警惕评估流于形式。</w:t>
      </w:r>
    </w:p>
    <w:p>
      <w:r>
        <w:rPr>
          <w:b/>
          <w:color w:val="5B6DE4"/>
        </w:rPr>
        <w:t xml:space="preserve">②  </w:t>
      </w:r>
      <w:r>
        <w:t>现象：中央网信办9月密集发布《促进数字化绿色化协同转型发展实施方案（2026-2030年）》《数字乡村高质量发展行动计划》等文件，形成五年期政策矩阵。逻辑：政策从单点突破转向系统集成，将数字化与绿色化、乡村振兴等国家战略捆绑，体现跨部门协同治理思路。研判：地方将迎来配套细则密集出台期，需关注双化协同的量化指标与考核机制能否落地，避免政策空转。</w:t>
      </w:r>
    </w:p>
    <w:p>
      <w:r>
        <w:rPr>
          <w:b/>
          <w:color w:val="5B6DE4"/>
        </w:rPr>
        <w:t xml:space="preserve">③  </w:t>
      </w:r>
      <w:r>
        <w:t>现象：工信部、网信办、发改委、国家数据局四部门联合印发《关于推动互联网基础资源高质量发展的指导意见》，并配套IPv6融合应用方案。逻辑：互联网基础资源（域名、IP、算力网络）是数字经济的底层支撑，政策意在夯实基础设施、提升自主可控能力。研判：算力网络与IPv6融合将加速，运营商与云厂商迎来新基建订单，但跨部门协调与标准统一仍是难点。</w:t>
      </w:r>
    </w:p>
    <w:p>
      <w:r>
        <w:rPr>
          <w:b/>
          <w:color w:val="5B6DE4"/>
        </w:rPr>
        <w:t xml:space="preserve">④  </w:t>
      </w:r>
      <w:r>
        <w:t>现象：国家数据局挂牌后持续推进数据要素基础制度，新华深读指出数据价值密度不均、标准参差、流通壁垒导致数据存而不用。逻辑：数据要素市场化配置改革进入深水区，核心矛盾从确权转向流通与收益分配，制度设计需平衡安全与效率。研判：数据交易所、数据资产入表等试点将扩围，但数据不敢传、不愿传的激励问题需通过收益分配机制破解，否则改革易停留在纸面。</w:t>
      </w:r>
    </w:p>
    <w:p>
      <w:r>
        <w:rPr>
          <w:b/>
          <w:color w:val="5B6DE4"/>
        </w:rPr>
        <w:t xml:space="preserve">⑤  </w:t>
      </w:r>
      <w:r>
        <w:t>现象：国家药监局药审中心发布《药物临床试验电子数据指导原则》，落实ALCOA++原则；广东举办数安中国行宣讲会推动法规落地。逻辑：数据治理正从通用领域向垂直行业渗透，医药、金融等强监管行业率先建立数据可追溯与合规标准。研判：行业级数据治理规范将加速出台，企业需提前布局数据全生命周期管理，数据合规能力或成行业准入隐性门槛。</w:t>
      </w:r>
    </w:p>
    <w:p>
      <w:r>
        <w:rPr>
          <w:b/>
          <w:color w:val="5B6DE4"/>
        </w:rPr>
        <w:t xml:space="preserve">⑥  </w:t>
      </w:r>
      <w:r>
        <w:t>现象：欧盟AI法案高风险系统合规义务进入实施阶段，日本推进AI促进法并配套生成式AI治理指南，美国NIST扩展AI风险管理框架并推进白宫AI行政令。逻辑：全球AI治理呈现欧盟强监管、日本促创新、美国重安全测试的差异化路径，中国则以生成式AI管理办法与数据安全法组合推进。研判：中国可借鉴欧盟风险分级思路，但需保持创新空间；跨境AI数据流动规则将成为下一轮国际博弈焦点，企业需做好多法域合规准备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