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5B6DE4"/>
          <w:sz w:val="44"/>
        </w:rPr>
        <w:t>数据和信息化政策日报</w:t>
      </w:r>
    </w:p>
    <w:p>
      <w:pPr>
        <w:jc w:val="center"/>
      </w:pPr>
      <w:r>
        <w:rPr>
          <w:color w:val="828282"/>
          <w:sz w:val="22"/>
        </w:rPr>
        <w:t>生成日期：2026-10-29　　数据 · 算力 · 信息化</w:t>
      </w:r>
    </w:p>
    <w:p/>
    <w:p>
      <w:pPr>
        <w:pStyle w:val="Heading1"/>
      </w:pPr>
      <w:r>
        <w:rPr>
          <w:color w:val="5B6DE4"/>
          <w:sz w:val="28"/>
        </w:rPr>
        <w:t>一、过去 24 小时关键政策</w:t>
      </w:r>
    </w:p>
    <w:p>
      <w:r>
        <w:rPr>
          <w:b/>
          <w:sz w:val="24"/>
        </w:rPr>
        <w:t>《国家信息化“十五五”规划》</w:t>
      </w:r>
    </w:p>
    <w:p>
      <w:r>
        <w:rPr>
          <w:color w:val="646464"/>
          <w:sz w:val="20"/>
        </w:rPr>
        <w:t>文　　号：暂无</w:t>
        <w:br/>
        <w:t>发文机关：中央网络安全和信息化委员会办公室</w:t>
        <w:br/>
        <w:t>发文日期：2026-10-23</w:t>
        <w:br/>
        <w:t>原文链接：https://www.cac.gov.cn/wxzw/zcfg/A093703index_1.htm</w:t>
      </w:r>
    </w:p>
    <w:p>
      <w:pPr>
        <w:ind w:left="240"/>
      </w:pPr>
      <w:r>
        <w:t>部署“十五五”信息化发展目标、重点任务与保障措施，统筹数字中国建设。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《工业和信息化部办公厅关于开展2026年度5G应用“扬帆”行动重点城市总结评估工作的通知》</w:t>
      </w:r>
    </w:p>
    <w:p>
      <w:r>
        <w:rPr>
          <w:color w:val="646464"/>
          <w:sz w:val="20"/>
        </w:rPr>
        <w:t>文　　号：暂无</w:t>
        <w:br/>
        <w:t>发文机关：工业和信息化部办公厅</w:t>
        <w:br/>
        <w:t>发文日期：2026-10-19</w:t>
        <w:br/>
        <w:t>原文链接：https://www.miit.gov.cn/search/zcwjk.html</w:t>
      </w:r>
    </w:p>
    <w:p>
      <w:pPr>
        <w:ind w:left="240"/>
      </w:pPr>
      <w:r>
        <w:t>启动5G应用“扬帆”行动重点城市总结评估，推动5G融合应用规模化发展。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《工业和信息化部关于成立工业软件标准化技术委员会的公告》</w:t>
      </w:r>
    </w:p>
    <w:p>
      <w:r>
        <w:rPr>
          <w:color w:val="646464"/>
          <w:sz w:val="20"/>
        </w:rPr>
        <w:t>文　　号：工业和信息化部公告2026年第27号</w:t>
        <w:br/>
        <w:t>发文机关：工业和信息化部</w:t>
        <w:br/>
        <w:t>发文日期：2026-10-23</w:t>
        <w:br/>
        <w:t>原文链接：https://www.miit.gov.cn/search/zcwjk.html</w:t>
      </w:r>
    </w:p>
    <w:p>
      <w:pPr>
        <w:ind w:left="240"/>
      </w:pPr>
      <w:r>
        <w:t>成立工业软件标准化技术委员会（MIIT/TC11），负责行业标准制修订。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《工业和信息化部办公厅关于印发2026年第三批行业标准制修订计划的通知》</w:t>
      </w:r>
    </w:p>
    <w:p>
      <w:r>
        <w:rPr>
          <w:color w:val="646464"/>
          <w:sz w:val="20"/>
        </w:rPr>
        <w:t>文　　号：工信厅联企业〔2026〕40号</w:t>
        <w:br/>
        <w:t>发文机关：工业和信息化部办公厅</w:t>
        <w:br/>
        <w:t>发文日期：2026-10-23</w:t>
        <w:br/>
        <w:t>原文链接：https://www.miit.gov.cn/search/zcwjk.html</w:t>
      </w:r>
    </w:p>
    <w:p>
      <w:pPr>
        <w:ind w:left="240"/>
      </w:pPr>
      <w:r>
        <w:t>下达2026年第三批行业标准制修订计划，涵盖工业互联网、数据要素等领域。</w:t>
      </w:r>
    </w:p>
    <w:p>
      <w:pPr>
        <w:spacing w:before="0" w:after="80"/>
        <w:pBdr>
          <w:bottom w:val="single" w:sz="4" w:space="1" w:color="DDDDDD"/>
        </w:pBdr>
      </w:pPr>
    </w:p>
    <w:p/>
    <w:p>
      <w:pPr>
        <w:pStyle w:val="Heading1"/>
      </w:pPr>
      <w:r>
        <w:rPr>
          <w:color w:val="5B6DE4"/>
          <w:sz w:val="28"/>
        </w:rPr>
        <w:t>二、过去一个月主要政策动向</w:t>
      </w:r>
    </w:p>
    <w:p>
      <w:r>
        <w:rPr>
          <w:b/>
          <w:sz w:val="24"/>
        </w:rPr>
        <w:t>《国家信息化“十五五”规划》</w:t>
      </w:r>
    </w:p>
    <w:p>
      <w:r>
        <w:rPr>
          <w:color w:val="646464"/>
          <w:sz w:val="20"/>
        </w:rPr>
        <w:t>文　　号：暂无</w:t>
        <w:br/>
        <w:t>发文机关：中央网络安全和信息化委员会办公室</w:t>
        <w:br/>
        <w:t>发文日期：2026-10-23</w:t>
        <w:br/>
        <w:t>原文链接：https://www.cac.gov.cn/wxzw/zcfg/A093703index_1.htm</w:t>
      </w:r>
    </w:p>
    <w:p>
      <w:pPr>
        <w:ind w:left="240"/>
      </w:pPr>
      <w:r>
        <w:t>部署“十五五”信息化发展目标、重点任务与保障措施，统筹数字中国建设。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《工业和信息化部办公厅关于开展2026年度5G应用“扬帆”行动重点城市总结评估工作的通知》</w:t>
      </w:r>
    </w:p>
    <w:p>
      <w:r>
        <w:rPr>
          <w:color w:val="646464"/>
          <w:sz w:val="20"/>
        </w:rPr>
        <w:t>文　　号：暂无</w:t>
        <w:br/>
        <w:t>发文机关：工业和信息化部办公厅</w:t>
        <w:br/>
        <w:t>发文日期：2026-10-19</w:t>
        <w:br/>
        <w:t>原文链接：https://www.miit.gov.cn/search/zcwjk.html</w:t>
      </w:r>
    </w:p>
    <w:p>
      <w:pPr>
        <w:ind w:left="240"/>
      </w:pPr>
      <w:r>
        <w:t>启动5G应用“扬帆”行动重点城市总结评估，推动5G融合应用规模化发展。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《工业和信息化部关于成立工业软件标准化技术委员会的公告》</w:t>
      </w:r>
    </w:p>
    <w:p>
      <w:r>
        <w:rPr>
          <w:color w:val="646464"/>
          <w:sz w:val="20"/>
        </w:rPr>
        <w:t>文　　号：工业和信息化部公告2026年第27号</w:t>
        <w:br/>
        <w:t>发文机关：工业和信息化部</w:t>
        <w:br/>
        <w:t>发文日期：2026-10-23</w:t>
        <w:br/>
        <w:t>原文链接：https://www.miit.gov.cn/search/zcwjk.html</w:t>
      </w:r>
    </w:p>
    <w:p>
      <w:pPr>
        <w:ind w:left="240"/>
      </w:pPr>
      <w:r>
        <w:t>成立工业软件标准化技术委员会（MIIT/TC11），负责行业标准制修订。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《工业和信息化部办公厅关于印发2026年第三批行业标准制修订计划的通知》</w:t>
      </w:r>
    </w:p>
    <w:p>
      <w:r>
        <w:rPr>
          <w:color w:val="646464"/>
          <w:sz w:val="20"/>
        </w:rPr>
        <w:t>文　　号：工信厅联企业〔2026〕40号</w:t>
        <w:br/>
        <w:t>发文机关：工业和信息化部办公厅</w:t>
        <w:br/>
        <w:t>发文日期：2026-10-23</w:t>
        <w:br/>
        <w:t>原文链接：https://www.miit.gov.cn/search/zcwjk.html</w:t>
      </w:r>
    </w:p>
    <w:p>
      <w:pPr>
        <w:ind w:left="240"/>
      </w:pPr>
      <w:r>
        <w:t>下达2026年第三批行业标准制修订计划，涵盖工业互联网、数据要素等领域。</w:t>
      </w:r>
    </w:p>
    <w:p>
      <w:pPr>
        <w:spacing w:before="0" w:after="80"/>
        <w:pBdr>
          <w:bottom w:val="single" w:sz="4" w:space="1" w:color="DDDDDD"/>
        </w:pBdr>
      </w:pPr>
    </w:p>
    <w:p/>
    <w:p>
      <w:pPr>
        <w:pStyle w:val="Heading1"/>
      </w:pPr>
      <w:r>
        <w:rPr>
          <w:color w:val="5B6DE4"/>
          <w:sz w:val="28"/>
        </w:rPr>
        <w:t>三、今年以来主要政策</w:t>
      </w:r>
    </w:p>
    <w:p>
      <w:r>
        <w:rPr>
          <w:b/>
          <w:sz w:val="24"/>
        </w:rPr>
        <w:t>《网络安全法（修改）》</w:t>
      </w:r>
    </w:p>
    <w:p>
      <w:r>
        <w:rPr>
          <w:color w:val="646464"/>
          <w:sz w:val="20"/>
        </w:rPr>
        <w:t>文　　号：暂无</w:t>
        <w:br/>
        <w:t>发文机关：全国人民代表大会常务委员会</w:t>
        <w:br/>
        <w:t>发文日期：2026-01-02</w:t>
        <w:br/>
        <w:t>原文链接：https://www.cac.gov.cn/2026-01/02/c_1769093523928606.htm</w:t>
      </w:r>
    </w:p>
    <w:p>
      <w:pPr>
        <w:ind w:left="240"/>
      </w:pPr>
      <w:r>
        <w:t>修改《网络安全法》，新增人工智能安全与发展专门规定，完善风险监测评估。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《关于推动互联网基础资源高质量发展的指导意见》</w:t>
      </w:r>
    </w:p>
    <w:p>
      <w:r>
        <w:rPr>
          <w:color w:val="646464"/>
          <w:sz w:val="20"/>
        </w:rPr>
        <w:t>文　　号：暂无</w:t>
        <w:br/>
        <w:t>发文机关：工业和信息化部、中央网信办、国家发展改革委、国家数据局</w:t>
        <w:br/>
        <w:t>发文日期：2026-07-01</w:t>
        <w:br/>
        <w:t>原文链接：https://gyxxh.tj.gov.cn/ZWGK4147/ZCWJ6355/gjjwj/202607/t20260713_7334666.html</w:t>
      </w:r>
    </w:p>
    <w:p>
      <w:pPr>
        <w:ind w:left="240"/>
      </w:pPr>
      <w:r>
        <w:t>四部门联合发文，部署互联网基础资源高质量发展，强化网络根基与数据要素支撑。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《大型个人信息处理者个人信息保护规定（征求意见稿）》</w:t>
      </w:r>
    </w:p>
    <w:p>
      <w:r>
        <w:rPr>
          <w:color w:val="646464"/>
          <w:sz w:val="20"/>
        </w:rPr>
        <w:t>文　　号：暂无</w:t>
        <w:br/>
        <w:t>发文机关：国家互联网信息办公室</w:t>
        <w:br/>
        <w:t>发文日期：2026-08-07</w:t>
        <w:br/>
        <w:t>原文链接：https://www.cac.gov.cn/wxzw/sjzl/A093708index_1.htm</w:t>
      </w:r>
    </w:p>
    <w:p>
      <w:pPr>
        <w:ind w:left="240"/>
      </w:pPr>
      <w:r>
        <w:t>拟对大型个人信息处理者设定专门保护义务，公开征求意见。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《促进平台经济大中小企业协同发展行动方案（2026—2028年）》</w:t>
      </w:r>
    </w:p>
    <w:p>
      <w:r>
        <w:rPr>
          <w:color w:val="646464"/>
          <w:sz w:val="20"/>
        </w:rPr>
        <w:t>文　　号：暂无</w:t>
        <w:br/>
        <w:t>发文机关：工业和信息化部、中央网信办、国家发展改革委、科技部、商务部、市场监管总局、国家数据局</w:t>
        <w:br/>
        <w:t>发文日期：2026-06-18</w:t>
        <w:br/>
        <w:t>原文链接：https://www.cics-cert.org.cn/web_root/webpage/articlecontent_101002_2070451507098030082.html</w:t>
      </w:r>
    </w:p>
    <w:p>
      <w:pPr>
        <w:ind w:left="240"/>
      </w:pPr>
      <w:r>
        <w:t>七部门联合印发三年行动方案，推动平台经济大中小企业协同发展。</w:t>
      </w:r>
    </w:p>
    <w:p>
      <w:pPr>
        <w:spacing w:before="0" w:after="80"/>
        <w:pBdr>
          <w:bottom w:val="single" w:sz="4" w:space="1" w:color="DDDDDD"/>
        </w:pBdr>
      </w:pPr>
    </w:p>
    <w:p/>
    <w:p>
      <w:pPr>
        <w:pStyle w:val="Heading1"/>
      </w:pPr>
      <w:r>
        <w:rPr>
          <w:color w:val="5B6DE4"/>
          <w:sz w:val="28"/>
        </w:rPr>
        <w:t>四、未来趋势判断</w:t>
      </w:r>
    </w:p>
    <w:p>
      <w:r>
        <w:rPr>
          <w:b/>
          <w:color w:val="5B6DE4"/>
        </w:rPr>
        <w:t xml:space="preserve">①  </w:t>
      </w:r>
      <w:r>
        <w:t>现象：国家网信办10月23日发布《国家信息化“十五五”规划》，同日配套专家解读强调“把握信息革命历史机遇”。逻辑：规划将信息化从工具定位提升为“十五五”时期国家竞争力的核心变量，意在统筹数字中国、数字经济与数字政府三条主线，避免此前多头规划造成的重复建设。研判：预计2027年上半年将出台分领域实施方案，算力网络、数据基础制度、政务云集约化是三大抓手；地方层面可能掀起新一轮信息化项目申报潮，需警惕“重建设轻运营”的老问题。</w:t>
      </w:r>
    </w:p>
    <w:p>
      <w:r>
        <w:rPr>
          <w:b/>
          <w:color w:val="5B6DE4"/>
        </w:rPr>
        <w:t xml:space="preserve">②  </w:t>
      </w:r>
      <w:r>
        <w:t>现象：工信部10月23日公告成立工业软件标准化技术委员会（MIIT/TC11），同日下达2026年第三批行业标准制修订计划（工信厅联企业〔2026〕40号）。逻辑：工业软件是工业互联网与智能制造的“卡脖子”环节，标准化先行是为国产工业软件生态铺路，同时为数据要素在工业场景的登记、流通提供标准接口。研判：标准制定周期通常12—18个月，2027年底前有望形成首批工业软件互操作与数据登记标准；但需关注标准与开源社区的衔接，避免标准“孤岛化”。</w:t>
      </w:r>
    </w:p>
    <w:p>
      <w:r>
        <w:rPr>
          <w:b/>
          <w:color w:val="5B6DE4"/>
        </w:rPr>
        <w:t xml:space="preserve">③  </w:t>
      </w:r>
      <w:r>
        <w:t>现象：工信部办公厅10月19日启动2026年度5G应用“扬帆”行动重点城市总结评估。逻辑：5G规模部署已过峰值，政策重心从“建网”转向“用网”，评估旨在筛选可复制的融合应用模式，为6G预研和算力网络协同提供场景验证。研判：评估结果将影响后续财政资金与频谱资源分配，重点城市可能获得更多算力枢纽配套支持；但5G行业应用盈利模式仍不清晰，评估应避免唯指标论。</w:t>
      </w:r>
    </w:p>
    <w:p>
      <w:r>
        <w:rPr>
          <w:b/>
          <w:color w:val="5B6DE4"/>
        </w:rPr>
        <w:t xml:space="preserve">④  </w:t>
      </w:r>
      <w:r>
        <w:t>现象：国家网信办8月7日就《大型个人信息处理者个人信息保护规定（征求意见稿）》公开征求意见，10月前后进入意见汇总阶段。逻辑：个人信息保护法实施近五年，监管从“立规矩”转向“抓大放小”，对大型平台设定专门义务，降低中小企业的合规成本，同时为数据跨境流动划定安全边界。研判：正式稿可能在2026年底至2027年初出台，大型平台将面临更严格的独立监督与审计要求；与欧盟GDPR的“一站式”机制相比，中国更强调分级分类，企业需提前建立数据映射与影响评估体系。</w:t>
      </w:r>
    </w:p>
    <w:p>
      <w:r>
        <w:rPr>
          <w:b/>
          <w:color w:val="5B6DE4"/>
        </w:rPr>
        <w:t xml:space="preserve">⑤  </w:t>
      </w:r>
      <w:r>
        <w:t>现象：七部门6月18日联合印发《促进平台经济大中小企业协同发展行动方案（2026—2028年）》，八部门2月28日印发未成年人网络平台认定办法。逻辑：平台经济监管进入“促发展与防风险并重”阶段，一方面通过协同发展方案稳定市场预期，另一方面以未成年人保护为切口强化平台责任，形成“激励+约束”组合拳。研判：2027年平台经济政策将更注重可操作性，协同发展方案可能配套财税与融资支持；未成年人认定办法的实施将考验平台的年龄验证技术能力，可能催生隐私计算在合规场景的规模化应用。</w:t>
      </w:r>
    </w:p>
    <w:p>
      <w:r>
        <w:rPr>
          <w:b/>
          <w:color w:val="5B6DE4"/>
        </w:rPr>
        <w:t xml:space="preserve">⑥  </w:t>
      </w:r>
      <w:r>
        <w:t>现象：中国2026年1月修改《网络安全法》新增人工智能安全与发展专门规定，欧盟AI Act进入分阶段实施，美国则延续以行政令和NIST框架为主的分散治理。逻辑：三方均认识到AI治理需兼顾创新与安全，但路径不同——中国以修法方式将AI纳入网络安全框架，欧盟以统一立法设定风险分级，美国依赖行业标准与行政指导。研判：中国模式便于快速响应技术变化，但需警惕安全条款泛化抑制创新；欧盟模式合规成本高但确定性强的特点值得借鉴；美国模式的碎片化风险在联邦与州层面可能加剧。对中国而言，下一步应细化AI训练数据与算力基础设施的安全标准，避免“一刀切”。</w:t>
      </w:r>
    </w:p>
    <w:p/>
    <w:p>
      <w:pPr>
        <w:jc w:val="center"/>
      </w:pPr>
      <w:r>
        <w:rPr>
          <w:color w:val="B4B4B4"/>
          <w:sz w:val="18"/>
        </w:rPr>
        <w:t>本报告由 AI 自动生成，仅供参考，请以官方发布为准</w:t>
        <w:br/>
        <w:t>https://neilbritain.github.io/daily-policy-report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/>
    </w:pPr>
    <w:rPr>
      <w:rFonts w:ascii="仿宋" w:hAnsi="仿宋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