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生成日期：2026-07-16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《人工智能拟人化互动服务管理暂行办法》</w:t>
      </w:r>
    </w:p>
    <w:p>
      <w:r>
        <w:rPr>
          <w:color w:val="646464"/>
          <w:sz w:val="20"/>
        </w:rPr>
        <w:t>文　　号：国家网信办等五部门令第21号</w:t>
        <w:br/>
        <w:t>发文机关：国家互联网信息办公室、国家发展改革委、工业和信息化部、公安部、市场监管总局</w:t>
        <w:br/>
        <w:t>发文日期：2026-07-15</w:t>
        <w:br/>
        <w:t>原文链接：https://www.gov.cn/gongbao/2026/issue_12806/202606/content_7072472.html</w:t>
      </w:r>
    </w:p>
    <w:p>
      <w:pPr>
        <w:ind w:left="240"/>
      </w:pPr>
      <w:r>
        <w:t>规范AI拟人化互动服务，明确服务提供者责任与用户权益保护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《高质量数据集建设现场会在广州召开》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发文日期：2026-07-08</w:t>
        <w:br/>
        <w:t>原文链接：https://www.ndrc.gov.cn/fzggw/wld/llh/zyhd/index.html</w:t>
      </w:r>
    </w:p>
    <w:p>
      <w:pPr>
        <w:ind w:left="240"/>
      </w:pPr>
      <w:r>
        <w:t>推动高质量数据集建设，促进数据要素价值释放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《网络安全等级保护数据安全基本要求正式实施》</w:t>
      </w:r>
    </w:p>
    <w:p>
      <w:r>
        <w:rPr>
          <w:color w:val="646464"/>
          <w:sz w:val="20"/>
        </w:rPr>
        <w:t>文　　号：GA/T 2380—2026</w:t>
        <w:br/>
        <w:t>发文机关：公安部</w:t>
        <w:br/>
        <w:t>发文日期：2026-06-01</w:t>
        <w:br/>
        <w:t>原文链接：https://mp.weixin.qq.com/s?__biz=MzA3MzM5MDkzMQ==&amp;mid=2650531108&amp;idx=4&amp;sn=a212c82513e3d08160a10bda8f8d4d85&amp;chksm=869818990e2a57f80ddf0eafc14eb1a6a8d5cb2ec5467a315984d05f9da7f71aadc134d621e1&amp;scene=27</w:t>
      </w:r>
    </w:p>
    <w:p>
      <w:pPr>
        <w:ind w:left="240"/>
      </w:pPr>
      <w:r>
        <w:t>等保框架下数据安全基本要求标准正式施行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《浙江省支持之江人工智能公共算力开放创新平台建设》</w:t>
      </w:r>
    </w:p>
    <w:p>
      <w:r>
        <w:rPr>
          <w:color w:val="646464"/>
          <w:sz w:val="20"/>
        </w:rPr>
        <w:t>文　　号：暂无</w:t>
        <w:br/>
        <w:t>发文机关：浙江省发展和改革委员会</w:t>
        <w:br/>
        <w:t>发文日期：2026-06-25</w:t>
      </w:r>
    </w:p>
    <w:p>
      <w:pPr>
        <w:ind w:left="240"/>
      </w:pPr>
      <w:r>
        <w:t>支持万卡规模混合计算集群建设，提供普惠算力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《全国数据标准化技术委员会2026年第一次标准周活动》</w:t>
      </w:r>
    </w:p>
    <w:p>
      <w:r>
        <w:rPr>
          <w:color w:val="646464"/>
          <w:sz w:val="20"/>
        </w:rPr>
        <w:t>文　　号：暂无</w:t>
        <w:br/>
        <w:t>发文机关：全国数据标准化技术委员会</w:t>
        <w:br/>
        <w:t>发文日期：2026-05-20</w:t>
        <w:br/>
        <w:t>原文链接：https://www.ndrc.gov.cn/fzggw/wld/llh/zyhd/index.html</w:t>
      </w:r>
    </w:p>
    <w:p>
      <w:pPr>
        <w:ind w:left="240"/>
      </w:pPr>
      <w:r>
        <w:t>推进数据领域国家标准体系建设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号：工信部联信管〔2026〕159号</w:t>
        <w:br/>
        <w:t>发文机关：工业和信息化部、中央网信办、国家发展改革委、国家数据局</w:t>
        <w:br/>
        <w:t>发文日期：2026-07-01</w:t>
        <w:br/>
        <w:t>原文链接：https://gyxxh.tj.gov.cn/ZWGK4147/ZCWJ6355/gjjwj/202607/t20260713_7334666.html</w:t>
      </w:r>
    </w:p>
    <w:p>
      <w:pPr>
        <w:ind w:left="240"/>
      </w:pPr>
      <w:r>
        <w:t>推动互联网基础资源（IP地址、域名等）高质量发展，强化安全保障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《关于推动工业互联网高质量发展的实施意见》</w:t>
      </w:r>
    </w:p>
    <w:p>
      <w:r>
        <w:rPr>
          <w:color w:val="646464"/>
          <w:sz w:val="20"/>
        </w:rPr>
        <w:t>文　　号：工信部联信管〔2026〕152号</w:t>
        <w:br/>
        <w:t>发文机关：工业和信息化部等八部门</w:t>
        <w:br/>
        <w:t>发文日期：2026-06-30</w:t>
        <w:br/>
        <w:t>原文链接：https://www.miit.gov.cn/zwgk/zcwj/</w:t>
      </w:r>
    </w:p>
    <w:p>
      <w:pPr>
        <w:ind w:left="240"/>
      </w:pPr>
      <w:r>
        <w:t>八部门联合部署工业互联网高质量发展，深化融合应用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《国家网络安全事件报告管理办法》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发文日期：2026-01-23</w:t>
        <w:br/>
        <w:t>原文链接：https://www.cac.gov.cn/wxzw/zcfg/gfxwj/A09370305index_1.htm</w:t>
      </w:r>
    </w:p>
    <w:p>
      <w:pPr>
        <w:ind w:left="240"/>
      </w:pPr>
      <w:r>
        <w:t>规范网络安全事件报告流程，提升应急响应能力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：AI拟人化服务进入专项监管时代。7月15日，《人工智能拟人化互动服务管理暂行办法》正式施行，这是全球首个针对AI拟人化交互场景的专门立法。其逻辑在于，拟人化AI（如情感陪伴、虚拟角色）极易引发用户情感依赖、隐私泄露及伦理风险，传统算法治理框架难以覆盖。研判：未来监管部门将围绕“拟人度”设置分级标准，并可能要求服务商对交互内容进行实时情感安全过滤，企业需提前建立合规内控体系。</w:t>
      </w:r>
    </w:p>
    <w:p>
      <w:r>
        <w:rPr>
          <w:b/>
          <w:color w:val="5B6DE4"/>
        </w:rPr>
        <w:t xml:space="preserve">②  </w:t>
      </w:r>
      <w:r>
        <w:t>趋势2：工业互联网与AI融合从“试点”转向“规模化”。工信部1月发布的《工业互联网和人工智能融合赋能行动方案》与6月底八部门《关于推动工业互联网高质量发展的实施意见》形成政策组合拳。逻辑在于，工业数据开发利用被定位为培育新质生产力的关键抓手，而AI是释放数据价值的最优解。研判：下一步将重点突破工业大模型在质检、排产、供应链优化等场景的落地，并催生一批“工业数据+AI”标准化产品。</w:t>
      </w:r>
    </w:p>
    <w:p>
      <w:r>
        <w:rPr>
          <w:b/>
          <w:color w:val="5B6DE4"/>
        </w:rPr>
        <w:t xml:space="preserve">③  </w:t>
      </w:r>
      <w:r>
        <w:t>趋势3：算力政策从“规模扩张”转向“高质量供给”。天津、浙江、贵州等地近期政策均强调“普惠算力”“万卡集群”“算力调度平台”，而非单纯追求机架数量。其逻辑是，大模型训练对智能算力的需求爆发，但分散的算力中心利用率低、能耗高，必须通过统一调度和标准化服务提升效率。研判：国家算力网建设将加速，跨区域算力调度平台有望成为新基建标配，东数西算工程将更侧重“西训”场景。</w:t>
      </w:r>
    </w:p>
    <w:p>
      <w:r>
        <w:rPr>
          <w:b/>
          <w:color w:val="5B6DE4"/>
        </w:rPr>
        <w:t xml:space="preserve">④  </w:t>
      </w:r>
      <w:r>
        <w:t>趋势4：数据安全合规进入“标准落地”深水区。6月1日，等保框架下的数据安全基本要求正式实施，标志着数据安全从原则性规定走向可执行的技术标准。逻辑在于，数据跨境流动、AI训练数据使用等场景风险凸显，需要统一的技术基线来支撑监管。研判：后续将出台配套的检测认证细则，企业需尽快完成等保数据安全定级与整改，数据安全服务市场将迎来爆发。</w:t>
      </w:r>
    </w:p>
    <w:p>
      <w:r>
        <w:rPr>
          <w:b/>
          <w:color w:val="5B6DE4"/>
        </w:rPr>
        <w:t xml:space="preserve">⑤  </w:t>
      </w:r>
      <w:r>
        <w:t>趋势5：数据要素市场化从“顶层设计”向“高质量数据集”攻坚。国家数据局7月在广州召开高质量数据集建设现场会，强调工业、医疗、交通等领域的高质量数据集是AI落地的瓶颈。逻辑在于，数据要素流通的前提是数据“可用”，而当前公共数据开放不足、行业数据碎片化严重。研判：国家将推动建立行业级数据标注基地和合成数据标准，并探索数据资产入表与数据集质量挂钩的激励机制。</w:t>
      </w:r>
    </w:p>
    <w:p>
      <w:r>
        <w:rPr>
          <w:b/>
          <w:color w:val="5B6DE4"/>
        </w:rPr>
        <w:t xml:space="preserve">⑥  </w:t>
      </w:r>
      <w:r>
        <w:t>趋势6（国际比较）：中国AI监管走“场景细分”路线，与欧盟、美国形成差异化。中国《人工智能拟人化互动服务管理暂行办法》聚焦具体应用场景，而欧盟AI Act采用风险分级框架，美国则依赖行政令和行业自律。逻辑在于，中国更注重通过快速立法解决现实社会风险（如未成年人保护、情感诈骗），欧盟侧重人权保护，美国侧重创新激励。研判：中国模式可能被更多发展中国家借鉴，但需警惕过度细分导致合规碎片化；中美欧三方在AI安全基准上的对话将更加迫切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