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生成日期：2026-07-29　　数据 · 算力 · 信息化</w:t>
      </w:r>
    </w:p>
    <w:p/>
    <w:p>
      <w:pPr>
        <w:pStyle w:val="Heading1"/>
      </w:pPr>
      <w:r>
        <w:rPr>
          <w:color w:val="5B6DE4"/>
          <w:sz w:val="28"/>
        </w:rPr>
        <w:t>一、过去 24 小时关键政策</w:t>
      </w:r>
    </w:p>
    <w:p>
      <w:r>
        <w:rPr>
          <w:b/>
          <w:sz w:val="24"/>
        </w:rPr>
        <w:t>《关于发布生成式人工智能服务已备案信息的公告(2026年5月至6月)》</w:t>
      </w:r>
    </w:p>
    <w:p>
      <w:r>
        <w:rPr>
          <w:color w:val="646464"/>
          <w:sz w:val="20"/>
        </w:rPr>
        <w:t>文　　号：暂无</w:t>
        <w:br/>
        <w:t>发文机关：中央网络安全和信息化委员会办公室</w:t>
        <w:br/>
        <w:t>发文日期：2026-07-21</w:t>
        <w:br/>
        <w:t>原文链接：https://www.cac.gov.cn/wxzw/wxfb/A093702index_1.htm</w:t>
      </w:r>
    </w:p>
    <w:p>
      <w:pPr>
        <w:ind w:left="240"/>
      </w:pPr>
      <w:r>
        <w:t>公布2026年5-6月生成式AI服务备案信息，强化合规监管</w:t>
      </w:r>
    </w:p>
    <w:p>
      <w:pPr>
        <w:spacing w:before="0" w:after="80"/>
        <w:pBdr>
          <w:bottom w:val="single" w:sz="4" w:space="1" w:color="DDDDDD"/>
        </w:pBdr>
      </w:pPr>
    </w:p>
    <w:p>
      <w:r>
        <w:rPr>
          <w:b/>
          <w:sz w:val="24"/>
        </w:rPr>
        <w:t>《2026年APEC数字和人工智能部长会议通过《成都声明》》</w:t>
      </w:r>
    </w:p>
    <w:p>
      <w:r>
        <w:rPr>
          <w:color w:val="646464"/>
          <w:sz w:val="20"/>
        </w:rPr>
        <w:t>文　　号：暂无</w:t>
        <w:br/>
        <w:t>发文机关：工业和信息化部</w:t>
        <w:br/>
        <w:t>发文日期：2026-07-24</w:t>
      </w:r>
    </w:p>
    <w:p>
      <w:pPr>
        <w:ind w:left="240"/>
      </w:pPr>
      <w:r>
        <w:t>APEC数字和AI部长会议达成共识，推动数字合作与AI治理</w:t>
      </w:r>
    </w:p>
    <w:p>
      <w:pPr>
        <w:spacing w:before="0" w:after="80"/>
        <w:pBdr>
          <w:bottom w:val="single" w:sz="4" w:space="1" w:color="DDDDDD"/>
        </w:pBdr>
      </w:pPr>
    </w:p>
    <w:p>
      <w:r>
        <w:rPr>
          <w:b/>
          <w:sz w:val="24"/>
        </w:rPr>
        <w:t>《江门市国家级中小企业数字化转型城市试点数字化产品清单(更新至第十三批)》</w:t>
      </w:r>
    </w:p>
    <w:p>
      <w:r>
        <w:rPr>
          <w:color w:val="646464"/>
          <w:sz w:val="20"/>
        </w:rPr>
        <w:t>文　　号：江工信工业互联网函〔2026〕63号</w:t>
        <w:br/>
        <w:t>发文机关：江门市工业和信息化局</w:t>
        <w:br/>
        <w:t>发文日期：2026-07-24</w:t>
        <w:br/>
        <w:t>原文链接：https://www.jiangmen.gov.cn/jmgxj/gkmlpt/mindex</w:t>
      </w:r>
    </w:p>
    <w:p>
      <w:pPr>
        <w:ind w:left="240"/>
      </w:pPr>
      <w:r>
        <w:t>更新中小企业数字化转型产品清单，推动试点落地</w:t>
      </w:r>
    </w:p>
    <w:p>
      <w:pPr>
        <w:spacing w:before="0" w:after="80"/>
        <w:pBdr>
          <w:bottom w:val="single" w:sz="4" w:space="1" w:color="DDDDDD"/>
        </w:pBdr>
      </w:pPr>
    </w:p>
    <w:p>
      <w:r>
        <w:rPr>
          <w:b/>
          <w:sz w:val="24"/>
        </w:rPr>
        <w:t>《2026年“人工智能+电竞创新应用大赛”正式启动》</w:t>
      </w:r>
    </w:p>
    <w:p>
      <w:r>
        <w:rPr>
          <w:color w:val="646464"/>
          <w:sz w:val="20"/>
        </w:rPr>
        <w:t>文　　号：暂无</w:t>
        <w:br/>
        <w:t>发文机关：广西壮族自治区大数据发展局</w:t>
        <w:br/>
        <w:t>发文日期：2026-07-15</w:t>
      </w:r>
    </w:p>
    <w:p>
      <w:pPr>
        <w:ind w:left="240"/>
      </w:pPr>
      <w:r>
        <w:t>启动AI+电竞创新大赛，推动人工智能应用与产业融合</w:t>
      </w:r>
    </w:p>
    <w:p>
      <w:pPr>
        <w:spacing w:before="0" w:after="80"/>
        <w:pBdr>
          <w:bottom w:val="single" w:sz="4" w:space="1" w:color="DDDDDD"/>
        </w:pBdr>
      </w:pPr>
    </w:p>
    <w:p>
      <w:r>
        <w:rPr>
          <w:b/>
          <w:sz w:val="24"/>
        </w:rPr>
        <w:t>《数据宝发布国内首个“数据·算力·Token”三合一AI基础设施平台》</w:t>
      </w:r>
    </w:p>
    <w:p>
      <w:r>
        <w:rPr>
          <w:color w:val="646464"/>
          <w:sz w:val="20"/>
        </w:rPr>
        <w:t>文　　号：暂无</w:t>
        <w:br/>
        <w:t>发文机关：贵安新区官网</w:t>
        <w:br/>
        <w:t>发文日期：2026-07-23</w:t>
      </w:r>
    </w:p>
    <w:p>
      <w:pPr>
        <w:ind w:left="240"/>
      </w:pPr>
      <w:r>
        <w:t>发布数据·算力·Token融合平台，推动AI基础设施创新</w:t>
      </w:r>
    </w:p>
    <w:p>
      <w:pPr>
        <w:spacing w:before="0" w:after="80"/>
        <w:pBdr>
          <w:bottom w:val="single" w:sz="4" w:space="1" w:color="DDDDDD"/>
        </w:pBdr>
      </w:pPr>
    </w:p>
    <w:p/>
    <w:p>
      <w:pPr>
        <w:pStyle w:val="Heading1"/>
      </w:pPr>
      <w:r>
        <w:rPr>
          <w:color w:val="5B6DE4"/>
          <w:sz w:val="28"/>
        </w:rPr>
        <w:t>二、过去一个月主要政策动向</w:t>
      </w:r>
    </w:p>
    <w:p>
      <w:r>
        <w:rPr>
          <w:b/>
          <w:sz w:val="24"/>
        </w:rPr>
        <w:t>《人工智能拟人化互动服务管理暂行办法》</w:t>
      </w:r>
    </w:p>
    <w:p>
      <w:r>
        <w:rPr>
          <w:color w:val="646464"/>
          <w:sz w:val="20"/>
        </w:rPr>
        <w:t>文　　号：国家网信办等五部门令第21号</w:t>
        <w:br/>
        <w:t>发文机关：国家网信办、国家发展改革委、工业和信息化部、公安部、市场监管总局</w:t>
        <w:br/>
        <w:t>发文日期：2026-07-15</w:t>
        <w:br/>
        <w:t>原文链接：https://www.gov.cn/gongbao/2026/issue_12806/202606/content_7072472.html?webview_progress_bar=1&amp;push_animated=1&amp;show_loading=0&amp;theme=light</w:t>
      </w:r>
    </w:p>
    <w:p>
      <w:pPr>
        <w:ind w:left="240"/>
      </w:pPr>
      <w:r>
        <w:t>规范AI拟人化互动服务，明确备案与安全要求</w:t>
      </w:r>
    </w:p>
    <w:p>
      <w:pPr>
        <w:spacing w:before="0" w:after="80"/>
        <w:pBdr>
          <w:bottom w:val="single" w:sz="4" w:space="1" w:color="DDDDDD"/>
        </w:pBdr>
      </w:pPr>
    </w:p>
    <w:p>
      <w:r>
        <w:rPr>
          <w:b/>
          <w:sz w:val="24"/>
        </w:rPr>
        <w:t>《工业和信息化部等八部门印发《关于推动工业互联网高质量发展的实施意见》》</w:t>
      </w:r>
    </w:p>
    <w:p>
      <w:r>
        <w:rPr>
          <w:color w:val="646464"/>
          <w:sz w:val="20"/>
        </w:rPr>
        <w:t>文　　号：暂无</w:t>
        <w:br/>
        <w:t>发文机关：工业和信息化部等八部门</w:t>
        <w:br/>
        <w:t>发文日期：2026-06-29</w:t>
        <w:br/>
        <w:t>原文链接：https://wap.miit.gov.cn/zwgk/zcwj/wjfb/tz/index.html</w:t>
      </w:r>
    </w:p>
    <w:p>
      <w:pPr>
        <w:ind w:left="240"/>
      </w:pPr>
      <w:r>
        <w:t>推动工业互联网高质量发展，部署重点任务</w:t>
      </w:r>
    </w:p>
    <w:p>
      <w:pPr>
        <w:spacing w:before="0" w:after="80"/>
        <w:pBdr>
          <w:bottom w:val="single" w:sz="4" w:space="1" w:color="DDDDDD"/>
        </w:pBdr>
      </w:pPr>
    </w:p>
    <w:p>
      <w:r>
        <w:rPr>
          <w:b/>
          <w:sz w:val="24"/>
        </w:rPr>
        <w:t>《国家网信办等三部门联合公布《网络数据安全风险评估办法》》</w:t>
      </w:r>
    </w:p>
    <w:p>
      <w:r>
        <w:rPr>
          <w:color w:val="646464"/>
          <w:sz w:val="20"/>
        </w:rPr>
        <w:t>文　　号：暂无</w:t>
        <w:br/>
        <w:t>发文机关：国家网信办、工信部、公安部</w:t>
        <w:br/>
        <w:t>发文日期：2026-06-18</w:t>
        <w:br/>
        <w:t>原文链接：https://www.cac.gov.cn/wxzw/wxfb/A093702index_1.htm</w:t>
      </w:r>
    </w:p>
    <w:p>
      <w:pPr>
        <w:ind w:left="240"/>
      </w:pPr>
      <w:r>
        <w:t>建立网络数据安全风险评估制度，强化数据安全</w:t>
      </w:r>
    </w:p>
    <w:p>
      <w:pPr>
        <w:spacing w:before="0" w:after="80"/>
        <w:pBdr>
          <w:bottom w:val="single" w:sz="4" w:space="1" w:color="DDDDDD"/>
        </w:pBdr>
      </w:pPr>
    </w:p>
    <w:p>
      <w:r>
        <w:rPr>
          <w:b/>
          <w:sz w:val="24"/>
        </w:rPr>
        <w:t>《浙江省支持之江人工智能公共算力开放创新平台建设》</w:t>
      </w:r>
    </w:p>
    <w:p>
      <w:r>
        <w:rPr>
          <w:color w:val="646464"/>
          <w:sz w:val="20"/>
        </w:rPr>
        <w:t>文　　号：暂无</w:t>
        <w:br/>
        <w:t>发文机关：浙江省发展和改革委员会</w:t>
        <w:br/>
        <w:t>发文日期：2026-06-25</w:t>
      </w:r>
    </w:p>
    <w:p>
      <w:pPr>
        <w:ind w:left="240"/>
      </w:pPr>
      <w:r>
        <w:t>支持万卡级AI算力平台建设，提供普惠算力服务</w:t>
      </w:r>
    </w:p>
    <w:p>
      <w:pPr>
        <w:spacing w:before="0" w:after="80"/>
        <w:pBdr>
          <w:bottom w:val="single" w:sz="4" w:space="1" w:color="DDDDDD"/>
        </w:pBdr>
      </w:pPr>
    </w:p>
    <w:p>
      <w:r>
        <w:rPr>
          <w:b/>
          <w:sz w:val="24"/>
        </w:rPr>
        <w:t>《深圳市制造业数字化转型互联互通技术要求(征求意见稿)》</w:t>
      </w:r>
    </w:p>
    <w:p>
      <w:r>
        <w:rPr>
          <w:color w:val="646464"/>
          <w:sz w:val="20"/>
        </w:rPr>
        <w:t>文　　号：暂无</w:t>
        <w:br/>
        <w:t>发文机关：深圳市工业和信息化局</w:t>
        <w:br/>
        <w:t>发文日期：2026-06-12</w:t>
        <w:br/>
        <w:t>原文链接：http://gxj.sz.gov.cn/ztfw/ztzl/zzyszhzx/index.html</w:t>
      </w:r>
    </w:p>
    <w:p>
      <w:pPr>
        <w:ind w:left="240"/>
      </w:pPr>
      <w:r>
        <w:t>制定制造业数字化转型互联互通地方标准</w:t>
      </w:r>
    </w:p>
    <w:p>
      <w:pPr>
        <w:spacing w:before="0" w:after="80"/>
        <w:pBdr>
          <w:bottom w:val="single" w:sz="4" w:space="1" w:color="DDDDDD"/>
        </w:pBdr>
      </w:pPr>
    </w:p>
    <w:p>
      <w:r>
        <w:rPr>
          <w:b/>
          <w:sz w:val="24"/>
        </w:rPr>
        <w:t>《关于印发《实施网络安全标识的产品目录(第一批)》及相关实施规则的通知》</w:t>
      </w:r>
    </w:p>
    <w:p>
      <w:r>
        <w:rPr>
          <w:color w:val="646464"/>
          <w:sz w:val="20"/>
        </w:rPr>
        <w:t>文　　号：暂无</w:t>
        <w:br/>
        <w:t>发文机关：中央网络安全和信息化委员会办公室</w:t>
        <w:br/>
        <w:t>发文日期：2026-06-18</w:t>
        <w:br/>
        <w:t>原文链接：https://www.cac.gov.cn/wxzw/wxfb/A093702index_1.htm</w:t>
      </w:r>
    </w:p>
    <w:p>
      <w:pPr>
        <w:ind w:left="240"/>
      </w:pPr>
      <w:r>
        <w:t>发布首批网络安全标识产品目录，规范标识管理</w:t>
      </w:r>
    </w:p>
    <w:p>
      <w:pPr>
        <w:spacing w:before="0" w:after="80"/>
        <w:pBdr>
          <w:bottom w:val="single" w:sz="4" w:space="1" w:color="DDDDDD"/>
        </w:pBdr>
      </w:pPr>
    </w:p>
    <w:p/>
    <w:p>
      <w:pPr>
        <w:pStyle w:val="Heading1"/>
      </w:pPr>
      <w:r>
        <w:rPr>
          <w:color w:val="5B6DE4"/>
          <w:sz w:val="28"/>
        </w:rPr>
        <w:t>三、今年以来主要政策</w:t>
      </w:r>
    </w:p>
    <w:p>
      <w:r>
        <w:rPr>
          <w:b/>
          <w:sz w:val="24"/>
        </w:rPr>
        <w:t>《关于开展零碳工厂建设工作的指导意见》</w:t>
      </w:r>
    </w:p>
    <w:p>
      <w:r>
        <w:rPr>
          <w:color w:val="646464"/>
          <w:sz w:val="20"/>
        </w:rPr>
        <w:t>文　　号：工信部联节〔2026〕13号</w:t>
        <w:br/>
        <w:t>发文机关：工业和信息化部</w:t>
        <w:br/>
        <w:t>发文日期：2026-01-01</w:t>
        <w:br/>
        <w:t>原文链接：https://www.miit.gov.cn/search/wjfb.html?websiteid=110000000000000&amp;tpl=14&amp;category=51</w:t>
      </w:r>
    </w:p>
    <w:p>
      <w:pPr>
        <w:ind w:left="240"/>
      </w:pPr>
      <w:r>
        <w:t>推动零碳工厂建设，含零碳算力设施，促进绿色算力</w:t>
      </w:r>
    </w:p>
    <w:p>
      <w:pPr>
        <w:spacing w:before="0" w:after="80"/>
        <w:pBdr>
          <w:bottom w:val="single" w:sz="4" w:space="1" w:color="DDDDDD"/>
        </w:pBdr>
      </w:pPr>
    </w:p>
    <w:p>
      <w:r>
        <w:rPr>
          <w:b/>
          <w:sz w:val="24"/>
        </w:rPr>
        <w:t>《普惠算力赋能中小企业发展专项行动》</w:t>
      </w:r>
    </w:p>
    <w:p>
      <w:r>
        <w:rPr>
          <w:color w:val="646464"/>
          <w:sz w:val="20"/>
        </w:rPr>
        <w:t>文　　号：暂无</w:t>
        <w:br/>
        <w:t>发文机关：工业和信息化部办公厅</w:t>
        <w:br/>
        <w:t>发文日期：2026-04-03</w:t>
        <w:br/>
        <w:t>原文链接：https://gyxxh.tj.gov.cn/ZWGK4147/ZCWJ6355/gjjwj/202604/t20260403_7275768.html</w:t>
      </w:r>
    </w:p>
    <w:p>
      <w:pPr>
        <w:ind w:left="240"/>
      </w:pPr>
      <w:r>
        <w:t>降低中小企业用算成本，提升算力普惠易用水平</w:t>
      </w:r>
    </w:p>
    <w:p>
      <w:pPr>
        <w:spacing w:before="0" w:after="80"/>
        <w:pBdr>
          <w:bottom w:val="single" w:sz="4" w:space="1" w:color="DDDDDD"/>
        </w:pBdr>
      </w:pPr>
    </w:p>
    <w:p>
      <w:r>
        <w:rPr>
          <w:b/>
          <w:sz w:val="24"/>
        </w:rPr>
        <w:t>《河南省2026年新基建、算力和人工智能发展工作部署》</w:t>
      </w:r>
    </w:p>
    <w:p>
      <w:r>
        <w:rPr>
          <w:color w:val="646464"/>
          <w:sz w:val="20"/>
        </w:rPr>
        <w:t>文　　号：暂无</w:t>
        <w:br/>
        <w:t>发文机关：河南省通信管理局</w:t>
        <w:br/>
        <w:t>发文日期：2026-04-10</w:t>
        <w:br/>
        <w:t>原文链接：https://hca.miit.gov.cn/xwdt/gzdt/art/2026/art_50acca1f9bdf441db1f0abd4f497e7e9.html</w:t>
      </w:r>
    </w:p>
    <w:p>
      <w:pPr>
        <w:ind w:left="240"/>
      </w:pPr>
      <w:r>
        <w:t>部署新基建、算力和AI发展，推进5G规模化应用</w:t>
      </w:r>
    </w:p>
    <w:p>
      <w:pPr>
        <w:spacing w:before="0" w:after="80"/>
        <w:pBdr>
          <w:bottom w:val="single" w:sz="4" w:space="1" w:color="DDDDDD"/>
        </w:pBdr>
      </w:pPr>
    </w:p>
    <w:p>
      <w:r>
        <w:rPr>
          <w:b/>
          <w:sz w:val="24"/>
        </w:rPr>
        <w:t>《深圳市企业技术改造传统优势产业数字化转型项目申报指南(2026年)》</w:t>
      </w:r>
    </w:p>
    <w:p>
      <w:r>
        <w:rPr>
          <w:color w:val="646464"/>
          <w:sz w:val="20"/>
        </w:rPr>
        <w:t>文　　号：暂无</w:t>
        <w:br/>
        <w:t>发文机关：深圳市工业和信息化局</w:t>
        <w:br/>
        <w:t>发文日期：2026-02-09</w:t>
        <w:br/>
        <w:t>原文链接：http://www.sz.gov.cn/szzt2010/wgkzl/jcgk/jcygk/zdzcjc/content/post_12639381.html</w:t>
      </w:r>
    </w:p>
    <w:p>
      <w:pPr>
        <w:ind w:left="240"/>
      </w:pPr>
      <w:r>
        <w:t>支持传统优势产业数字化转型，提供技术改造扶持</w:t>
      </w:r>
    </w:p>
    <w:p>
      <w:pPr>
        <w:spacing w:before="0" w:after="80"/>
        <w:pBdr>
          <w:bottom w:val="single" w:sz="4" w:space="1" w:color="DDDDDD"/>
        </w:pBdr>
      </w:pPr>
    </w:p>
    <w:p>
      <w:r>
        <w:rPr>
          <w:b/>
          <w:sz w:val="24"/>
        </w:rPr>
        <w:t>《2026世界人工智能大会暨人工智能全球治理高级别会议》</w:t>
      </w:r>
    </w:p>
    <w:p>
      <w:r>
        <w:rPr>
          <w:color w:val="646464"/>
          <w:sz w:val="20"/>
        </w:rPr>
        <w:t>文　　号：暂无</w:t>
        <w:br/>
        <w:t>发文机关：上海市人民政府等</w:t>
        <w:br/>
        <w:t>发文日期：2026-07-20</w:t>
      </w:r>
    </w:p>
    <w:p>
      <w:pPr>
        <w:ind w:left="240"/>
      </w:pPr>
      <w:r>
        <w:t>全球AI治理高级别会议，发布多项AI治理共识</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2026年7月15日施行的《人工智能拟人化互动服务管理暂行办法》标志着中国对生成式AI的监管从“备案制”向“场景化专项管理”深化。该办法针对AI拟人化互动这一高风险场景，明确服务提供者的备案、安全评估和用户保护义务，反映出监管层对AI情感交互可能引发的伦理、隐私和诱导风险的警惕。下一步，预计将出台更多针对特定AI应用场景（如教育、医疗、金融）的专项管理办法，形成“基础法+场景规章”的立体监管体系。</w:t>
      </w:r>
    </w:p>
    <w:p>
      <w:r>
        <w:rPr>
          <w:b/>
          <w:color w:val="5B6DE4"/>
        </w:rPr>
        <w:t xml:space="preserve">②  </w:t>
      </w:r>
      <w:r>
        <w:t>趋势2（技术路线）：工信部等八部门发布的《关于推动工业互联网高质量发展的实施意见》与《普惠算力赋能中小企业发展专项行动》形成政策组合拳，前者侧重平台生态建设，后者聚焦算力普惠化。这表明政策重心正从“建基础设施”转向“用基础设施”，通过降低中小企业用算成本、推动工业互联网平台互联互通，加速制造业数字化转型。未来，算力将成为类似水、电的公共资源，政府可能通过补贴、算力券等方式进一步降低企业门槛。</w:t>
      </w:r>
    </w:p>
    <w:p>
      <w:r>
        <w:rPr>
          <w:b/>
          <w:color w:val="5B6DE4"/>
        </w:rPr>
        <w:t xml:space="preserve">③  </w:t>
      </w:r>
      <w:r>
        <w:t>趋势3（区域格局）：天津、河北、浙江、河南等省市密集出台算力产业实施方案，形成“东数西算”框架下的区域竞合格局。天津强调“通用+智能+超级”算力一体化，河北聚焦京津冀协同，浙江支持万卡级AI算力平台，河南则侧重5G与算力融合。这种差异化布局反映出各地正根据自身产业基础和区位优势争夺算力枢纽地位。下一步，区域间算力互联互通和交易机制将成为政策重点，避免重复建设和资源浪费。</w:t>
      </w:r>
    </w:p>
    <w:p>
      <w:r>
        <w:rPr>
          <w:b/>
          <w:color w:val="5B6DE4"/>
        </w:rPr>
        <w:t xml:space="preserve">④  </w:t>
      </w:r>
      <w:r>
        <w:t>趋势4（产业影响）：2026世界人工智能大会上，数据宝发布国内首个“数据·算力·Token”三合一AI基础设施平台，标志着数据要素市场化进入“Token化”新阶段。该平台将数据、算力和Token（AI原生价值单位）打包，旨在解决AI训练中数据确权、定价和流通难题。这一创新可能推动数据资产从“确权交易”向“AI原生价值交换”演进，但Token的金融属性可能引发监管关注，需警惕其演变为虚拟货币的风险。</w:t>
      </w:r>
    </w:p>
    <w:p>
      <w:r>
        <w:rPr>
          <w:b/>
          <w:color w:val="5B6DE4"/>
        </w:rPr>
        <w:t xml:space="preserve">⑤  </w:t>
      </w:r>
      <w:r>
        <w:t>趋势5（安全合规）：《网络数据安全风险评估办法》与《实施网络安全标识的产品目录(第一批)》的出台，表明中国正构建“评估+标识”双轨并行的数据安全治理体系。风险评估办法要求数据处理者定期开展自评估，而网络安全标识则对产品进行强制性安全认证。这种“过程监管+产品准入”的组合拳，将倒逼企业建立常态化安全合规机制。预计2026年下半年，网信办将针对重点行业（如金融、医疗）开展专项检查，合规成本将进一步上升。</w:t>
      </w:r>
    </w:p>
    <w:p>
      <w:r>
        <w:rPr>
          <w:b/>
          <w:color w:val="5B6DE4"/>
        </w:rPr>
        <w:t xml:space="preserve">⑥  </w:t>
      </w:r>
      <w:r>
        <w:t>趋势6（国际比较）：中国在2026年APEC数字和AI部长会议上推动通过《成都声明》，强调“共同反对在AI领域泛化国家安全概念”，与美国近期对华AI芯片出口管制、欧盟《人工智能法案》的“风险分级”模式形成鲜明对比。中国主张“发展优先、包容普惠”，而美欧更侧重“安全优先、规则先行”。这种差异导致全球AI治理碎片化：中国企业出海面临欧盟的高合规门槛和美国的技术封锁，而中国则通过“一带一路”和APEC框架输出“中国方案”。未来，中国可能联合发展中国家推动建立“AI治理联盟”，以平衡美欧主导的规则体系。</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