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生成日期：2026-10-13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《山东省数字强省建设“十五五”规划》</w:t>
      </w:r>
    </w:p>
    <w:p>
      <w:r>
        <w:rPr>
          <w:color w:val="646464"/>
          <w:sz w:val="20"/>
        </w:rPr>
        <w:t>文　　号：暂无</w:t>
        <w:br/>
        <w:t>发文机关：山东省人民政府</w:t>
        <w:br/>
        <w:t>发文日期：2026-10-10</w:t>
        <w:br/>
        <w:t>原文链接：http://www.shandong.gov.cn/art/2026/10/10/art_267492_85789.html</w:t>
      </w:r>
    </w:p>
    <w:p>
      <w:pPr>
        <w:ind w:left="240"/>
      </w:pPr>
      <w:r>
        <w:t>实施“智算引领”培育行动，稳步提高智能算力规模，打造智算资源池，培育智能体产业。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《关于发展新质生产力的意见》</w:t>
      </w:r>
    </w:p>
    <w:p>
      <w:r>
        <w:rPr>
          <w:color w:val="646464"/>
          <w:sz w:val="20"/>
        </w:rPr>
        <w:t>文　　号：暂无</w:t>
        <w:br/>
        <w:t>发文机关：湖南省工业和信息化厅</w:t>
        <w:br/>
        <w:t>发文日期：2026-10-12</w:t>
        <w:br/>
        <w:t>原文链接：http://gxt.hunan.gov.cn/gxt/hnjnjc/jnjczcfg/jnjcgjzc/202610/t20261012_34079244.html</w:t>
      </w:r>
    </w:p>
    <w:p>
      <w:pPr>
        <w:ind w:left="240"/>
      </w:pPr>
      <w:r>
        <w:t>推进人工智能改造传统产业，强化算力算法数据供给，布局国家人工智能行业应用中试基地。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《网络安全法修改专家解读：积极应对人工智能治理安全挑战》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发文日期：2026-10-12</w:t>
      </w:r>
    </w:p>
    <w:p>
      <w:pPr>
        <w:ind w:left="240"/>
      </w:pPr>
      <w:r>
        <w:t>解读网络安全法修改要点，聚焦人工智能治理安全挑战，完善相关制度安排。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《山东省数字强省建设“十五五”规划》</w:t>
      </w:r>
    </w:p>
    <w:p>
      <w:r>
        <w:rPr>
          <w:color w:val="646464"/>
          <w:sz w:val="20"/>
        </w:rPr>
        <w:t>文　　号：暂无</w:t>
        <w:br/>
        <w:t>发文机关：山东省人民政府</w:t>
        <w:br/>
        <w:t>发文日期：2026-10-10</w:t>
        <w:br/>
        <w:t>原文链接：http://www.shandong.gov.cn/art/2026/10/10/art_267492_85789.html</w:t>
      </w:r>
    </w:p>
    <w:p>
      <w:pPr>
        <w:ind w:left="240"/>
      </w:pPr>
      <w:r>
        <w:t>实施“智算引领”培育行动，稳步提高智能算力规模，打造智算资源池，培育智能体产业。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《关于发展新质生产力的意见》</w:t>
      </w:r>
    </w:p>
    <w:p>
      <w:r>
        <w:rPr>
          <w:color w:val="646464"/>
          <w:sz w:val="20"/>
        </w:rPr>
        <w:t>文　　号：暂无</w:t>
        <w:br/>
        <w:t>发文机关：湖南省工业和信息化厅</w:t>
        <w:br/>
        <w:t>发文日期：2026-10-12</w:t>
        <w:br/>
        <w:t>原文链接：http://gxt.hunan.gov.cn/gxt/hnjnjc/jnjczcfg/jnjcgjzc/202610/t20261012_34079244.html</w:t>
      </w:r>
    </w:p>
    <w:p>
      <w:pPr>
        <w:ind w:left="240"/>
      </w:pPr>
      <w:r>
        <w:t>推进人工智能改造传统产业，强化算力算法数据供给，布局国家人工智能行业应用中试基地。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《网络安全法修改专家解读：积极应对人工智能治理安全挑战》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发文日期：2026-10-12</w:t>
      </w:r>
    </w:p>
    <w:p>
      <w:pPr>
        <w:ind w:left="240"/>
      </w:pPr>
      <w:r>
        <w:t>解读网络安全法修改要点，聚焦人工智能治理安全挑战，完善相关制度安排。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《药物临床试验电子数据指导原则》</w:t>
      </w:r>
    </w:p>
    <w:p>
      <w:r>
        <w:rPr>
          <w:color w:val="646464"/>
          <w:sz w:val="20"/>
        </w:rPr>
        <w:t>文　　号：暂无</w:t>
        <w:br/>
        <w:t>发文机关：国家药监局药审中心</w:t>
        <w:br/>
        <w:t>发文日期：2026-09-23</w:t>
      </w:r>
    </w:p>
    <w:p>
      <w:pPr>
        <w:ind w:left="240"/>
      </w:pPr>
      <w:r>
        <w:t>发布药物临床试验电子数据指导原则，明确计算机化系统ALCOA++原则要求。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《促进数字化绿色化协同转型发展实施方案（2026-2030年）》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发文日期：2026-09-04</w:t>
        <w:br/>
        <w:t>原文链接：https://www.cac.gov.cn/wxzw/zcfg/zcwj/A09370306index_1.htm</w:t>
      </w:r>
    </w:p>
    <w:p>
      <w:pPr>
        <w:ind w:left="240"/>
      </w:pPr>
      <w:r>
        <w:t>部署数字化绿色化协同转型，推动数字基础设施节能降碳与绿色技术数字赋能。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《深化互联网协议第六版（IPv6）技术创新和融合应用实施方案（2026—2030年）》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发文日期：2026-07-21</w:t>
        <w:br/>
        <w:t>原文链接：https://www.cac.gov.cn/wxzw/zcfg/zcwj/A09370306index_1.htm</w:t>
      </w:r>
    </w:p>
    <w:p>
      <w:pPr>
        <w:ind w:left="240"/>
      </w:pPr>
      <w:r>
        <w:t>部署IPv6技术创新与融合应用，推动下一代互联网规模部署和产业生态完善。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原文链接：http://www.cac.gov.cn</w:t>
      </w:r>
    </w:p>
    <w:p>
      <w:pPr>
        <w:ind w:left="240"/>
      </w:pPr>
      <w:r>
        <w:t>拟对大型个人信息处理者设定专门保护义务，公开征求意见完善监管制度。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《汽车数据出境安全指引（2026版）》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发文日期：2026-02-03</w:t>
      </w:r>
    </w:p>
    <w:p>
      <w:pPr>
        <w:ind w:left="240"/>
      </w:pPr>
      <w:r>
        <w:t>明确汽车数据出境安全评估流程与要求，规范智能网联汽车数据跨境流动。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山东省10月10日印发《数字强省建设“十五五”规划》，明确实施“智算引领”培育行动，打造智算资源池，并部署智能体产业培育。逻辑：这是地方层面率先将“十五五”数字规划落地，以智能算力为底座、智能体为应用抓手，体现从“建算力”向“用算力”转变的政策意图。研判：预计其他省份将跟进出台类似规划，智算资源池和智能体产业将成为地方数字竞争的新赛道，但需警惕重复建设和算力闲置风险。</w:t>
      </w:r>
    </w:p>
    <w:p>
      <w:r>
        <w:rPr>
          <w:b/>
          <w:color w:val="5B6DE4"/>
        </w:rPr>
        <w:t xml:space="preserve">②  </w:t>
      </w:r>
      <w:r>
        <w:t>现象：网信办10月12日发布《网络安全法》修改专家解读，专门聚焦人工智能治理安全挑战。逻辑：AI安全风险上升，法律修改为AI治理提供上位法依据，体现“以安全促发展”的治理思路。研判：后续可能出台AI安全专项配套细则，企业需提前评估合规成本，尤其是大模型训练数据安全和内容安全。</w:t>
      </w:r>
    </w:p>
    <w:p>
      <w:r>
        <w:rPr>
          <w:b/>
          <w:color w:val="5B6DE4"/>
        </w:rPr>
        <w:t xml:space="preserve">③  </w:t>
      </w:r>
      <w:r>
        <w:t>现象：湖南省10月12日发布《关于发展新质生产力的意见》，提出强化算力、算法、数据高效供给，布局国家人工智能行业应用中试基地。逻辑：地方将AI作为新质生产力核心引擎，通过中试基地打通技术到产业“最后一公里”。研判：中试基地模式可能在全国推广，但需关注地方财政可持续性和实际转化效果。</w:t>
      </w:r>
    </w:p>
    <w:p>
      <w:r>
        <w:rPr>
          <w:b/>
          <w:color w:val="5B6DE4"/>
        </w:rPr>
        <w:t xml:space="preserve">④  </w:t>
      </w:r>
      <w:r>
        <w:t>现象：网信办近期密集发布数据出境问答、个人信息保护问答及大型个人信息处理者规定征求意见稿。逻辑：数据跨境和个保监管进入精细化阶段，以问答和征求意见方式降低合规不确定性。研判：大型平台将面临更严格合规要求，数据出境“白名单”机制可能加速落地，企业应建立常态化数据合规体系。</w:t>
      </w:r>
    </w:p>
    <w:p>
      <w:r>
        <w:rPr>
          <w:b/>
          <w:color w:val="5B6DE4"/>
        </w:rPr>
        <w:t xml:space="preserve">⑤  </w:t>
      </w:r>
      <w:r>
        <w:t>现象：工信部等四部门7月联合发布《关于推动互联网基础资源高质量发展的指导意见》，网信办8月发布网信企业高质量发展行动计划。逻辑：政策从“建网络”转向“优治理”，强调基础资源自主可控和网信企业竞争力。研判：IPv6、域名等基础资源管理将更规范，网信企业面临洗牌，头部企业受益，中小企业需找准细分定位。</w:t>
      </w:r>
    </w:p>
    <w:p>
      <w:r>
        <w:rPr>
          <w:b/>
          <w:color w:val="5B6DE4"/>
        </w:rPr>
        <w:t xml:space="preserve">⑥  </w:t>
      </w:r>
      <w:r>
        <w:t>现象：中国以《网络安全法》修改和AI治理为抓手推进制度建设，欧盟AI Act按风险分级监管，美国侧重行政令与NIST框架，日本通过数字厅推动AI社会应用。逻辑：中国强调安全与发展并重，欧盟偏重权利保护，美国偏重创新优先，日本偏重社会落地。研判：中国可借鉴欧盟风险分级思路细化AI监管，同时保持政策灵活性，避免过度监管抑制创新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