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《国家统计局解读2026年7月份工业生产数据》</w:t>
      </w:r>
    </w:p>
    <w:p>
      <w:r>
        <w:rPr>
          <w:color w:val="646464"/>
          <w:sz w:val="20"/>
        </w:rPr>
        <w:t>文　　号：暂无</w:t>
        <w:br/>
        <w:t>发文机关：国家统计局工业司</w:t>
        <w:br/>
        <w:t>发文日期：2026-08-17</w:t>
        <w:br/>
        <w:t>原文链接：https://www.stats.gov.cn/sj/zxfbhjd/202608/t20260817_1965049.html</w:t>
      </w:r>
    </w:p>
    <w:p>
      <w:pPr>
        <w:ind w:left="240"/>
      </w:pPr>
      <w:r>
        <w:t>7月工业经济总体平稳，新动能（含算力、AI相关产业）贡献持续增强。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《工信部等六部门开展2026年度智能工厂梯度培育行动》</w:t>
      </w:r>
    </w:p>
    <w:p>
      <w:r>
        <w:rPr>
          <w:color w:val="646464"/>
          <w:sz w:val="20"/>
        </w:rPr>
        <w:t>文　　号：暂无</w:t>
        <w:br/>
        <w:t>发文机关：工业和信息化部等六部门</w:t>
        <w:br/>
        <w:t>发文日期：2026-07-23</w:t>
        <w:br/>
        <w:t>原文链接：https://wap.miit.gov.cn/</w:t>
      </w:r>
    </w:p>
    <w:p>
      <w:pPr>
        <w:ind w:left="240"/>
      </w:pPr>
      <w:r>
        <w:t>分层分级培育智能工厂，推进人工智能在制造业场景落地。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《2026年亚太经合组织数字经济与产业融合相关会议》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发文日期：2026-07-22</w:t>
        <w:br/>
        <w:t>原文链接：https://wap.miit.gov.cn/</w:t>
      </w:r>
    </w:p>
    <w:p>
      <w:pPr>
        <w:ind w:left="240"/>
      </w:pPr>
      <w:r>
        <w:t>参与APEC框架下数字经济与产业融合政策交流，推动数字技术应用。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号：国务院令第790号</w:t>
        <w:br/>
        <w:t>发文机关：国务院</w:t>
        <w:br/>
        <w:t>发文日期：2026-01-01</w:t>
      </w:r>
    </w:p>
    <w:p>
      <w:pPr>
        <w:ind w:left="240"/>
      </w:pPr>
      <w:r>
        <w:t>规范网络数据处理活动，保障数据安全，促进数据依法合理有效利用。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《关于深入实施“东数西算”工程加快构建全国一体化算力网的实施意见》</w:t>
      </w:r>
    </w:p>
    <w:p>
      <w:r>
        <w:rPr>
          <w:color w:val="646464"/>
          <w:sz w:val="20"/>
        </w:rPr>
        <w:t>文　　号：发改数据〔2026〕暂无</w:t>
        <w:br/>
        <w:t>发文机关：国家发展改革委、国家数据局等</w:t>
        <w:br/>
        <w:t>发文日期：2026-02-15</w:t>
      </w:r>
    </w:p>
    <w:p>
      <w:pPr>
        <w:ind w:left="240"/>
      </w:pPr>
      <w:r>
        <w:t>加快构建全国一体化算力网，优化算力布局，推动算力电力协同发展。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《广东省关于加快人工智能产业高质量发展的若干措施》</w:t>
      </w:r>
    </w:p>
    <w:p>
      <w:r>
        <w:rPr>
          <w:color w:val="646464"/>
          <w:sz w:val="20"/>
        </w:rPr>
        <w:t>文　　号：粤府办〔2026〕暂无</w:t>
        <w:br/>
        <w:t>发文机关：广东省人民政府办公厅</w:t>
        <w:br/>
        <w:t>发文日期：2026-03-10</w:t>
      </w:r>
    </w:p>
    <w:p>
      <w:pPr>
        <w:ind w:left="240"/>
      </w:pPr>
      <w:r>
        <w:t>聚焦大模型、智能算力等方向，提出多项支持措施，打造AI产业高地。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《上海市促进人工智能产业发展条例实施细则》</w:t>
      </w:r>
    </w:p>
    <w:p>
      <w:r>
        <w:rPr>
          <w:color w:val="646464"/>
          <w:sz w:val="20"/>
        </w:rPr>
        <w:t>文　　号：沪府办发〔2026〕暂无</w:t>
        <w:br/>
        <w:t>发文机关：上海市人民政府办公厅</w:t>
        <w:br/>
        <w:t>发文日期：2026-04-08</w:t>
      </w:r>
    </w:p>
    <w:p>
      <w:pPr>
        <w:ind w:left="240"/>
      </w:pPr>
      <w:r>
        <w:t>细化AI产业促进条例，明确算力补贴、数据开放、应用场景等配套政策。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《浙江省数字经济发展“十五五”规划》</w:t>
      </w:r>
    </w:p>
    <w:p>
      <w:r>
        <w:rPr>
          <w:color w:val="646464"/>
          <w:sz w:val="20"/>
        </w:rPr>
        <w:t>文　　号：浙政发〔2026〕暂无</w:t>
        <w:br/>
        <w:t>发文机关：浙江省人民政府</w:t>
        <w:br/>
        <w:t>发文日期：2026-05-20</w:t>
      </w:r>
    </w:p>
    <w:p>
      <w:pPr>
        <w:ind w:left="240"/>
      </w:pPr>
      <w:r>
        <w:t>部署未来五年数字经济目标，重点发展数字产业集群和数字基础设施。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《江苏省制造业智能化改造和数字化转型三年行动计划（2026-2028年）》</w:t>
      </w:r>
    </w:p>
    <w:p>
      <w:r>
        <w:rPr>
          <w:color w:val="646464"/>
          <w:sz w:val="20"/>
        </w:rPr>
        <w:t>文　　号：苏政办发〔2026〕暂无</w:t>
        <w:br/>
        <w:t>发文机关：江苏省人民政府办公厅</w:t>
        <w:br/>
        <w:t>发文日期：2026-06-12</w:t>
      </w:r>
    </w:p>
    <w:p>
      <w:pPr>
        <w:ind w:left="240"/>
      </w:pPr>
      <w:r>
        <w:t>推动规上工业企业智能化改造全覆盖，加快工业互联网与人工智能融合。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《辽宁省算力基础设施建设专项规划》</w:t>
      </w:r>
    </w:p>
    <w:p>
      <w:r>
        <w:rPr>
          <w:color w:val="646464"/>
          <w:sz w:val="20"/>
        </w:rPr>
        <w:t>文　　号：辽政办发〔2026〕暂无</w:t>
        <w:br/>
        <w:t>发文机关：辽宁省人民政府办公厅</w:t>
        <w:br/>
        <w:t>发文日期：2026-05-06</w:t>
      </w:r>
    </w:p>
    <w:p>
      <w:pPr>
        <w:ind w:left="240"/>
      </w:pPr>
      <w:r>
        <w:t>规划建设沈阳、大连等算力枢纽，承接东数西算东北节点任务。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《日本AI相关产业竞争力强化法案》</w:t>
      </w:r>
    </w:p>
    <w:p>
      <w:r>
        <w:rPr>
          <w:color w:val="646464"/>
          <w:sz w:val="20"/>
        </w:rPr>
        <w:t>文　　号：法律第XX号</w:t>
        <w:br/>
        <w:t>发文机关：日本国会</w:t>
        <w:br/>
        <w:t>发文日期：2026-03-31</w:t>
      </w:r>
    </w:p>
    <w:p>
      <w:pPr>
        <w:ind w:left="240"/>
      </w:pPr>
      <w:r>
        <w:t>为AI技术研发提供资金支持，同时设立专门机构监管高风险AI应用。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《欧盟人工智能法案（AI Act）通用人工智能行为准则》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发文日期：2026-04-15</w:t>
      </w:r>
    </w:p>
    <w:p>
      <w:pPr>
        <w:ind w:left="240"/>
      </w:pPr>
      <w:r>
        <w:t>针对GPT-4等通用AI模型制定详细合规指引，明确透明度与版权义务。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《美国联邦AI治理与数据隐私保护行政令》</w:t>
      </w:r>
    </w:p>
    <w:p>
      <w:r>
        <w:rPr>
          <w:color w:val="646464"/>
          <w:sz w:val="20"/>
        </w:rPr>
        <w:t>文　　号：暂无</w:t>
        <w:br/>
        <w:t>发文机关：白宫</w:t>
        <w:br/>
        <w:t>发文日期：2026-05-28</w:t>
      </w:r>
    </w:p>
    <w:p>
      <w:pPr>
        <w:ind w:left="240"/>
      </w:pPr>
      <w:r>
        <w:t>要求联邦机构评估AI系统风险，并推动联邦层面统一数据隐私立法。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国务院正式施行《网络数据安全管理条例》，标志着数据安全治理从部门规章上升至行政法规层级。该条例与《数据安全法》《个人信息保护法》共同构成“三驾马车”式的基础法律框架，重点细化了数据分类分级、跨境流动等操作性规则。研判：下一步国家数据局将围绕该条例出台配套的行业数据合规指引，企业数据资产入表与安全评估成本将显著上升，数据要素市场化配置的法律底座进一步夯实。</w:t>
      </w:r>
    </w:p>
    <w:p>
      <w:r>
        <w:rPr>
          <w:b/>
          <w:color w:val="5B6DE4"/>
        </w:rPr>
        <w:t xml:space="preserve">②  </w:t>
      </w:r>
      <w:r>
        <w:t>趋势2（技术路线）：工信部等六部门启动2026年度智能工厂梯度培育行动，从基础级、先进级到卓越级分层推进，明确将人工智能大模型嵌入制造业全流程。政策逻辑已从单纯鼓励“上云用数”转向强调“AI赋能实体制造”，尤其关注算力调度与工业场景的深度适配。研判：未来两年将出现一批“模型+工业软件”的标杆案例，但中小企业面临算力成本高企与人才短缺的双重瓶颈，需要区域性公共算力平台提供普惠支持。</w:t>
      </w:r>
    </w:p>
    <w:p>
      <w:r>
        <w:rPr>
          <w:b/>
          <w:color w:val="5B6DE4"/>
        </w:rPr>
        <w:t xml:space="preserve">③  </w:t>
      </w:r>
      <w:r>
        <w:t>趋势3（区域格局）：辽宁、江苏、上海、广东、浙江等省市密集出台2026年数字经济与算力专项规划，呈现明显的“地方赛跑”态势。辽宁侧重承接“东数西算”东北节点，聚焦算力基础设施；长三角与珠三角则更强调AI产业落地与数据要素流通。研判：区域间算力资源分布不均可能加剧，建议国家层面建立跨区域算力调度与利益分成机制，避免重复建设和算力孤岛现象。</w:t>
      </w:r>
    </w:p>
    <w:p>
      <w:r>
        <w:rPr>
          <w:b/>
          <w:color w:val="5B6DE4"/>
        </w:rPr>
        <w:t xml:space="preserve">④  </w:t>
      </w:r>
      <w:r>
        <w:t>趋势4（产业影响）：国家统计局最新数据显示7月工业经济中新动能贡献持续增强，高技术制造业增速明显高于规上工业平均。这与智能工厂培育、算力基建投资形成正向反馈循环，AI与工业互联网正成为拉动制造业投资的新引擎。研判：需警惕部分地方为追求“AI标签”而盲目上马低水平项目，政策应强化对真实场景落地和投资回报率的考核，防止产业泡沫化。</w:t>
      </w:r>
    </w:p>
    <w:p>
      <w:r>
        <w:rPr>
          <w:b/>
          <w:color w:val="5B6DE4"/>
        </w:rPr>
        <w:t xml:space="preserve">⑤  </w:t>
      </w:r>
      <w:r>
        <w:t>趋势5（安全合规）：随着《网络数据安全管理条例》落地，数据跨境流动监管进入实操阶段，多地数据交易所开始探索“数据出境安全评估+国际数据港”并行模式。同时，生成式AI的算法备案与内容标识要求日趋严格，网信办对深度合成服务的监管力度持续加大。研判：数据安全产业将迎来爆发期，但合规成本向中小企业传导的压力值得关注，或催生第三方合规托管服务新业态。</w:t>
      </w:r>
    </w:p>
    <w:p>
      <w:r>
        <w:rPr>
          <w:b/>
          <w:color w:val="5B6DE4"/>
        </w:rPr>
        <w:t xml:space="preserve">⑥  </w:t>
      </w:r>
      <w:r>
        <w:t>趋势6（国际比较）：中国以“东数西算”和智能工厂培育为抓手，采取“基建先行+产业落地”的自上而下模式；欧盟则通过AI Act对不同风险等级AI实施分层监管，侧重权利保护；美国以行政令推动联邦机构AI应用评估，更强调创新与安全的平衡。日本则通过立法提供研发补贴并设立监管机构，走“产官学”协同路线。研判：中国模式在算力规模与场景落地速度上占优，但在全球AI治理规则话语权上面临欧美压力，需在数据跨境、AI伦理等议题上加强国际合作与互认，以降低企业出海合规成本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