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生成日期：2026-06-09　　数据 · 算力 · 信息化</w:t>
      </w:r>
    </w:p>
    <w:p/>
    <w:p>
      <w:pPr>
        <w:pStyle w:val="Heading1"/>
      </w:pPr>
      <w:r>
        <w:rPr>
          <w:color w:val="5B6DE4"/>
          <w:sz w:val="28"/>
        </w:rPr>
        <w:t>一、过去 24 小时关键政策</w:t>
      </w:r>
    </w:p>
    <w:p>
      <w:r>
        <w:rPr>
          <w:b/>
          <w:sz w:val="24"/>
        </w:rPr>
        <w:t>《2026数智化转型创新推进大会发布数字化转型标准应用成果》</w:t>
      </w:r>
    </w:p>
    <w:p>
      <w:r>
        <w:rPr>
          <w:color w:val="646464"/>
          <w:sz w:val="20"/>
        </w:rPr>
        <w:t>文　　号：暂无</w:t>
        <w:br/>
        <w:t>发文机关：2026数智化转型创新推进大会</w:t>
        <w:br/>
        <w:t>发文日期：2026-06-06</w:t>
        <w:br/>
        <w:t>原文链接：https://news.sina.com.cn/sx/2026-06-06/detail-iniamtit8895526.shtml</w:t>
      </w:r>
    </w:p>
    <w:p>
      <w:pPr>
        <w:ind w:left="240"/>
      </w:pPr>
      <w:r>
        <w:t>发布数字化转型参考架构国家标准应用推广成果及联合推进计划</w:t>
      </w:r>
    </w:p>
    <w:p>
      <w:pPr>
        <w:spacing w:before="0" w:after="80"/>
        <w:pBdr>
          <w:bottom w:val="single" w:sz="4" w:space="1" w:color="DDDDDD"/>
        </w:pBdr>
      </w:pPr>
    </w:p>
    <w:p/>
    <w:p>
      <w:pPr>
        <w:pStyle w:val="Heading1"/>
      </w:pPr>
      <w:r>
        <w:rPr>
          <w:color w:val="5B6DE4"/>
          <w:sz w:val="28"/>
        </w:rPr>
        <w:t>二、过去一个月主要政策动向</w:t>
      </w:r>
    </w:p>
    <w:p>
      <w:r>
        <w:rPr>
          <w:b/>
          <w:sz w:val="24"/>
        </w:rPr>
        <w:t>《两部门关于联合实施2026年“模数共振”行动的通知》</w:t>
      </w:r>
    </w:p>
    <w:p>
      <w:r>
        <w:rPr>
          <w:color w:val="646464"/>
          <w:sz w:val="20"/>
        </w:rPr>
        <w:t>文　　号：暂无</w:t>
        <w:br/>
        <w:t>发文机关：工业和信息化部、国家数据局</w:t>
        <w:br/>
        <w:t>发文日期：2026-04-28</w:t>
        <w:br/>
        <w:t>原文链接：http://xxzx.mwr.gov.cn/xxhhygl/bwdt/202604/t20260430_2109346.html</w:t>
      </w:r>
    </w:p>
    <w:p>
      <w:pPr>
        <w:ind w:left="240"/>
      </w:pPr>
      <w:r>
        <w:t>推动人工智能模型与数据资源协同互促，开展模数共振行动</w:t>
      </w:r>
    </w:p>
    <w:p>
      <w:pPr>
        <w:spacing w:before="0" w:after="80"/>
        <w:pBdr>
          <w:bottom w:val="single" w:sz="4" w:space="1" w:color="DDDDDD"/>
        </w:pBdr>
      </w:pPr>
    </w:p>
    <w:p>
      <w:r>
        <w:rPr>
          <w:b/>
          <w:sz w:val="24"/>
        </w:rPr>
        <w:t>《2026年“数据要素×”大赛通知发布》</w:t>
      </w:r>
    </w:p>
    <w:p>
      <w:r>
        <w:rPr>
          <w:color w:val="646464"/>
          <w:sz w:val="20"/>
        </w:rPr>
        <w:t>文　　号：暂无</w:t>
        <w:br/>
        <w:t>发文机关：国家数据局等有关部门</w:t>
        <w:br/>
        <w:t>发文日期：2026-04-30</w:t>
      </w:r>
    </w:p>
    <w:p>
      <w:pPr>
        <w:ind w:left="240"/>
      </w:pPr>
      <w:r>
        <w:t>举办2026年数据要素×大赛，发挥数据要素乘数效应</w:t>
      </w:r>
    </w:p>
    <w:p>
      <w:pPr>
        <w:spacing w:before="0" w:after="80"/>
        <w:pBdr>
          <w:bottom w:val="single" w:sz="4" w:space="1" w:color="DDDDDD"/>
        </w:pBdr>
      </w:pPr>
    </w:p>
    <w:p>
      <w:r>
        <w:rPr>
          <w:b/>
          <w:sz w:val="24"/>
        </w:rPr>
        <w:t>《《2026年数字经济发展工作要点》印发》</w:t>
      </w:r>
    </w:p>
    <w:p>
      <w:r>
        <w:rPr>
          <w:color w:val="646464"/>
          <w:sz w:val="20"/>
        </w:rPr>
        <w:t>文　　号：暂无</w:t>
        <w:br/>
        <w:t>发文机关：国家数据局</w:t>
        <w:br/>
        <w:t>发文日期：2026-05-20</w:t>
      </w:r>
    </w:p>
    <w:p>
      <w:pPr>
        <w:ind w:left="240"/>
      </w:pPr>
      <w:r>
        <w:t>部署8方面重点任务，加快数据要素市场化配置改革</w:t>
      </w:r>
    </w:p>
    <w:p>
      <w:pPr>
        <w:spacing w:before="0" w:after="80"/>
        <w:pBdr>
          <w:bottom w:val="single" w:sz="4" w:space="1" w:color="DDDDDD"/>
        </w:pBdr>
      </w:pPr>
    </w:p>
    <w:p>
      <w:r>
        <w:rPr>
          <w:b/>
          <w:sz w:val="24"/>
        </w:rPr>
        <w:t>《刘烈宏赴温州市、深圳市、东莞市调研数据要素市场化配置改革工作》</w:t>
      </w:r>
    </w:p>
    <w:p>
      <w:r>
        <w:rPr>
          <w:color w:val="646464"/>
          <w:sz w:val="20"/>
        </w:rPr>
        <w:t>文　　号：暂无</w:t>
        <w:br/>
        <w:t>发文机关：国家数据局</w:t>
        <w:br/>
        <w:t>发文日期：2026-06-01</w:t>
        <w:br/>
        <w:t>原文链接：https://www.ndrc.gov.cn/fzggw/wld/llh/zyhd/index.html</w:t>
      </w:r>
    </w:p>
    <w:p>
      <w:pPr>
        <w:ind w:left="240"/>
      </w:pPr>
      <w:r>
        <w:t>调研数据要素市场化配置改革，推动数据领域工作</w:t>
      </w:r>
    </w:p>
    <w:p>
      <w:pPr>
        <w:spacing w:before="0" w:after="80"/>
        <w:pBdr>
          <w:bottom w:val="single" w:sz="4" w:space="1" w:color="DDDDDD"/>
        </w:pBdr>
      </w:pPr>
    </w:p>
    <w:p>
      <w:r>
        <w:rPr>
          <w:b/>
          <w:sz w:val="24"/>
        </w:rPr>
        <w:t>《第五届全国信息技术标准化技术委员会第一次全体会议在京召开》</w:t>
      </w:r>
    </w:p>
    <w:p>
      <w:r>
        <w:rPr>
          <w:color w:val="646464"/>
          <w:sz w:val="20"/>
        </w:rPr>
        <w:t>文　　号：暂无</w:t>
        <w:br/>
        <w:t>发文机关：工业和信息化部</w:t>
        <w:br/>
        <w:t>发文日期：2026-06-01</w:t>
        <w:br/>
        <w:t>原文链接：https://www.miit.gov.cn/xbymdz/xwfb/gxdt/</w:t>
      </w:r>
    </w:p>
    <w:p>
      <w:pPr>
        <w:ind w:left="240"/>
      </w:pPr>
      <w:r>
        <w:t>推进信息技术标准化工作，支撑数字经济发展</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w:t>
        <w:br/>
        <w:t>发文日期：2026-05-19</w:t>
        <w:br/>
        <w:t>原文链接：https://www.cac.gov.cn/index.htm?id=11085dhmoi.html</w:t>
      </w:r>
    </w:p>
    <w:p>
      <w:pPr>
        <w:ind w:left="240"/>
      </w:pPr>
      <w:r>
        <w:t>启动全民数字素养与技能提升月，促进数字社会建设</w:t>
      </w:r>
    </w:p>
    <w:p>
      <w:pPr>
        <w:spacing w:before="0" w:after="80"/>
        <w:pBdr>
          <w:bottom w:val="single" w:sz="4" w:space="1" w:color="DDDDDD"/>
        </w:pBdr>
      </w:pPr>
    </w:p>
    <w:p>
      <w:r>
        <w:rPr>
          <w:b/>
          <w:sz w:val="24"/>
        </w:rPr>
        <w:t>《智能体规范应用与创新发展实施意见》</w:t>
      </w:r>
    </w:p>
    <w:p>
      <w:r>
        <w:rPr>
          <w:color w:val="646464"/>
          <w:sz w:val="20"/>
        </w:rPr>
        <w:t>文　　号：暂无</w:t>
        <w:br/>
        <w:t>发文机关：中央网络安全和信息化委员会办公室</w:t>
        <w:br/>
        <w:t>发文日期：2026-05-08</w:t>
        <w:br/>
        <w:t>原文链接：https://www.cac.gov.cn/wxzw/zcfg/A093703index_1.htm?pageId=0&amp;wfwfid=7967</w:t>
      </w:r>
    </w:p>
    <w:p>
      <w:pPr>
        <w:ind w:left="240"/>
      </w:pPr>
      <w:r>
        <w:t>规范智能体应用，推动智能体高质量发展</w:t>
      </w:r>
    </w:p>
    <w:p>
      <w:pPr>
        <w:spacing w:before="0" w:after="80"/>
        <w:pBdr>
          <w:bottom w:val="single" w:sz="4" w:space="1" w:color="DDDDDD"/>
        </w:pBdr>
      </w:pPr>
    </w:p>
    <w:p/>
    <w:p>
      <w:pPr>
        <w:pStyle w:val="Heading1"/>
      </w:pPr>
      <w:r>
        <w:rPr>
          <w:color w:val="5B6DE4"/>
          <w:sz w:val="28"/>
        </w:rPr>
        <w:t>三、今年以来主要政策</w:t>
      </w:r>
    </w:p>
    <w:p>
      <w:r>
        <w:rPr>
          <w:b/>
          <w:sz w:val="24"/>
        </w:rPr>
        <w:t>《上海市制造业智能化发展项目申报通知（2026年）》</w:t>
      </w:r>
    </w:p>
    <w:p>
      <w:r>
        <w:rPr>
          <w:color w:val="646464"/>
          <w:sz w:val="20"/>
        </w:rPr>
        <w:t>文　　号：暂无</w:t>
        <w:br/>
        <w:t>发文机关：上海市经济信息化委</w:t>
        <w:br/>
        <w:t>发文日期：2026-01-12</w:t>
        <w:br/>
        <w:t>原文链接：https://www.sheitc.sh.gov.cn/cyfz/20260112/11e3168ff89a4eeea2b1afd193c19418.html</w:t>
      </w:r>
    </w:p>
    <w:p>
      <w:pPr>
        <w:ind w:left="240"/>
      </w:pPr>
      <w:r>
        <w:t>组织制造业智能化项目，发挥AI、工业互联网赋能作用</w:t>
      </w:r>
    </w:p>
    <w:p>
      <w:pPr>
        <w:spacing w:before="0" w:after="80"/>
        <w:pBdr>
          <w:bottom w:val="single" w:sz="4" w:space="1" w:color="DDDDDD"/>
        </w:pBdr>
      </w:pPr>
    </w:p>
    <w:p>
      <w:r>
        <w:rPr>
          <w:b/>
          <w:sz w:val="24"/>
        </w:rPr>
        <w:t>《福建省2026年省级工业数字化转型项目申报通知》</w:t>
      </w:r>
    </w:p>
    <w:p>
      <w:r>
        <w:rPr>
          <w:color w:val="646464"/>
          <w:sz w:val="20"/>
        </w:rPr>
        <w:t>文　　号：闽工信函信息〔2026〕43号</w:t>
        <w:br/>
        <w:t>发文机关：福建省工业和信息化厅</w:t>
        <w:br/>
        <w:t>发文日期：2026-02-03</w:t>
        <w:br/>
        <w:t>原文链接：https://www.fuzhou.gov.cn/zgfzzt/sjxw/fzjx/tzgg/202602/t20260204_5281427.htm</w:t>
      </w:r>
    </w:p>
    <w:p>
      <w:pPr>
        <w:ind w:left="240"/>
      </w:pPr>
      <w:r>
        <w:t>面向工业互联网平台、数智化标杆企业等方向组织申报</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数据局近期密集调研数据要素市场化配置改革（温州、深圳、东莞），并印发《2026年数字经济发展工作要点》，明确建立全国统一数据产权登记制度。这表明数据要素市场化正从顶层设计转向地方试点与制度落地并行阶段。下一步，预计将出台数据产权登记指引及公共数据授权运营价格形成机制，数据资产化进程将加速，但需关注不同地区间制度差异可能带来的合规成本。</w:t>
      </w:r>
    </w:p>
    <w:p>
      <w:r>
        <w:rPr>
          <w:b/>
          <w:color w:val="5B6DE4"/>
        </w:rPr>
        <w:t xml:space="preserve">②  </w:t>
      </w:r>
      <w:r>
        <w:t>趋势2（技术路线）：工信部与国家数据局联合实施“模数共振”行动，强调人工智能模型与数据资源的协同互促。这一政策信号表明，国家正着力破解大模型训练中数据供给不足、质量不高的瓶颈，推动形成“模型-数据”双向赋能闭环。未来，高质量数据集建设和数据标注产业有望获得专项支持，同时模型训练的数据合规要求将更趋细化。</w:t>
      </w:r>
    </w:p>
    <w:p>
      <w:r>
        <w:rPr>
          <w:b/>
          <w:color w:val="5B6DE4"/>
        </w:rPr>
        <w:t xml:space="preserve">③  </w:t>
      </w:r>
      <w:r>
        <w:t>趋势3（区域格局）：天津、青岛、威海、山西等多地发布2024-2026年算力或数字经济发展规划，均强调算力一体化布局与行业大模型培育。区域政策呈现“错位竞争”特征：天津侧重算力枢纽建设，青岛聚焦海洋大模型，山西发力算力强基。这反映出国家“东数西算”工程正向下沉为地方差异化行动，但需警惕重复建设风险，未来跨区域算力调度与协同机制将成为关键。</w:t>
      </w:r>
    </w:p>
    <w:p>
      <w:r>
        <w:rPr>
          <w:b/>
          <w:color w:val="5B6DE4"/>
        </w:rPr>
        <w:t xml:space="preserve">④  </w:t>
      </w:r>
      <w:r>
        <w:t>趋势4（产业影响）：2026数智化转型创新推进大会发布数字化转型参考架构国家标准应用推广成果，并启动行业联合推进计划。此举标志着制造业数字化转型从“试点示范”进入“标准引领”阶段，集团型、企业型、工厂型分类指引有助于降低中小企业转型门槛。预计未来两年，数字化转型标准将加速在钢铁、化工、电子等行业落地，带动工业互联网平台需求增长。</w:t>
      </w:r>
    </w:p>
    <w:p>
      <w:r>
        <w:rPr>
          <w:b/>
          <w:color w:val="5B6DE4"/>
        </w:rPr>
        <w:t xml:space="preserve">⑤  </w:t>
      </w:r>
      <w:r>
        <w:t>趋势5（安全合规）：中央网信办发布《智能体规范应用与创新发展实施意见》，并联合约谈涉火车票销售第三方平台。智能体治理成为2026年网络安全新焦点，政策意图在于平衡创新与风险，防止AI自主决策引发数据滥用或服务乱象。下一步，针对智能体的数据安全、算法透明度和责任归属的细化规定可能出台，企业需提前建立智能体合规评估机制。</w:t>
      </w:r>
    </w:p>
    <w:p>
      <w:r>
        <w:rPr>
          <w:b/>
          <w:color w:val="5B6DE4"/>
        </w:rPr>
        <w:t xml:space="preserve">⑥  </w:t>
      </w:r>
      <w:r>
        <w:t>趋势6（国际比较）：中国近期聚焦数据要素市场化与“模数共振”，而欧盟持续推进AI Act与GDPR执行，美国则通过行政令强化AI安全测试。中国更强调“数据-模型”协同与产业赋能，欧盟侧重风险分级与个人权利保护，美国注重国家安全与供应链韧性。启示：中国可在数据跨境流动规则上借鉴欧盟“充分性认定”机制，同时借鉴美国AI安全测试经验，完善大模型备案与评测体系，以增强国际互信与竞争力。</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