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生成日期：2026-08-07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号：工信部联网安〔2026〕27号</w:t>
        <w:br/>
        <w:t>发文机关：工业和信息化部等八部门</w:t>
        <w:br/>
        <w:t>发文日期：2026-08-04</w:t>
        <w:br/>
        <w:t>原文链接：https://www.cac.gov.cn/2026-02/03/c_1771851453192164.htm</w:t>
      </w:r>
    </w:p>
    <w:p>
      <w:pPr>
        <w:ind w:left="240"/>
      </w:pPr>
      <w:r>
        <w:t>建立高效便利安全的汽车数据跨境流动机制，提升出境便利化水平。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《互联网用户账号信息管理规定》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发文日期：2026-08-01</w:t>
      </w:r>
    </w:p>
    <w:p>
      <w:pPr>
        <w:ind w:left="240"/>
      </w:pPr>
      <w:r>
        <w:t>规范互联网用户账号信息管理，自8月1日起施行。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《2026中国国际大数据产业博览会新闻发布会》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发文日期：2026-08-07</w:t>
        <w:br/>
        <w:t>原文链接：https://m.spzwxxj.henan.gov.cn/2026/07-31/3381078.html</w:t>
      </w:r>
    </w:p>
    <w:p>
      <w:pPr>
        <w:ind w:left="240"/>
      </w:pPr>
      <w:r>
        <w:t>140万PFLOPS智能算力接入全国一体化算力网试验验证平台。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《2026年“人工智能+电竞创新应用大赛”启动》</w:t>
      </w:r>
    </w:p>
    <w:p>
      <w:r>
        <w:rPr>
          <w:color w:val="646464"/>
          <w:sz w:val="20"/>
        </w:rPr>
        <w:t>文　　号：暂无</w:t>
        <w:br/>
        <w:t>发文机关：广西壮族自治区大数据发展局</w:t>
        <w:br/>
        <w:t>发文日期：2026-08-07</w:t>
      </w:r>
    </w:p>
    <w:p>
      <w:pPr>
        <w:ind w:left="240"/>
      </w:pPr>
      <w:r>
        <w:t>以赛聚才、以赛促创，激活广西数字文创与电竞产业生态。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《2026年度嘉定区促进城市数字化转型和数字经济发展专项》</w:t>
      </w:r>
    </w:p>
    <w:p>
      <w:r>
        <w:rPr>
          <w:color w:val="646464"/>
          <w:sz w:val="20"/>
        </w:rPr>
        <w:t>文　　号：暂无</w:t>
        <w:br/>
        <w:t>发文机关：上海市嘉定区</w:t>
        <w:br/>
        <w:t>发文日期：2026-08-07</w:t>
      </w:r>
    </w:p>
    <w:p>
      <w:pPr>
        <w:ind w:left="240"/>
      </w:pPr>
      <w:r>
        <w:t>支持城市数字化转型和数字经济发展项目，申报截止7月23日。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发文日期：2026-07-13</w:t>
        <w:br/>
        <w:t>原文链接：https://gyxxh.tj.gov.cn/ZWGK4147/ZCWJ6355/gjjwj/202607/t20260713_7334666.html</w:t>
      </w:r>
    </w:p>
    <w:p>
      <w:pPr>
        <w:ind w:left="240"/>
      </w:pPr>
      <w:r>
        <w:t>推动互联网基础资源高质量发展，强化统筹监测和供需对接。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发文日期：2026-07-08</w:t>
        <w:br/>
        <w:t>原文链接：http://fjgov.cn/jjxx/xxhdt/202605/t20260521_7150501.htm</w:t>
      </w:r>
    </w:p>
    <w:p>
      <w:pPr>
        <w:ind w:left="240"/>
      </w:pPr>
      <w:r>
        <w:t>部署8方面重点任务，深化数据要素市场化配置改革，筑牢数字基础设施底座。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发文日期：2026-07-12</w:t>
        <w:br/>
        <w:t>原文链接：https://www.hbqj.gov.cn/sjjhxxhj/zfxxgk/zc/bbmwj/202606/t20260612_5957098.html</w:t>
      </w:r>
    </w:p>
    <w:p>
      <w:pPr>
        <w:ind w:left="240"/>
      </w:pPr>
      <w:r>
        <w:t>构建“枢纽—区域—边缘”三级算力设施体系，加快算力大通道建设。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《普惠算力赋能中小企业发展专项行动》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发文日期：2026-07-03</w:t>
        <w:br/>
        <w:t>原文链接：https://gyxxh.tj.gov.cn/ZWGK4147/ZCWJ6355/gjjwj/202604/t20260403_7275768.html</w:t>
      </w:r>
    </w:p>
    <w:p>
      <w:pPr>
        <w:ind w:left="240"/>
      </w:pPr>
      <w:r>
        <w:t>提升算力普惠易用水平，降低中小企业用算成本。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《2026年人工智能券（算力券）兑付申报》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发文日期：2026-07-01</w:t>
      </w:r>
    </w:p>
    <w:p>
      <w:pPr>
        <w:ind w:left="240"/>
      </w:pPr>
      <w:r>
        <w:t>使用超长期特别国债资金，降低算力使用成本，促进资源优化配置。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《广西深入实施“人工智能+”三年行动方案（2026—2028年）》</w:t>
      </w:r>
    </w:p>
    <w:p>
      <w:r>
        <w:rPr>
          <w:color w:val="646464"/>
          <w:sz w:val="20"/>
        </w:rPr>
        <w:t>文　　号：暂无</w:t>
        <w:br/>
        <w:t>发文机关：广西壮族自治区</w:t>
        <w:br/>
        <w:t>发文日期：2026-07-15</w:t>
      </w:r>
    </w:p>
    <w:p>
      <w:pPr>
        <w:ind w:left="240"/>
      </w:pPr>
      <w:r>
        <w:t>建设面向东盟的人工智能国际合作高地，坚持“北上广研发+广西集成+东盟应用”。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《2026年度苏州市“科创指数惠”（人工智能算力补贴）》</w:t>
      </w:r>
    </w:p>
    <w:p>
      <w:r>
        <w:rPr>
          <w:color w:val="646464"/>
          <w:sz w:val="20"/>
        </w:rPr>
        <w:t>文　　号：暂无</w:t>
        <w:br/>
        <w:t>发文机关：苏州市科学技术局</w:t>
        <w:br/>
        <w:t>发文日期：2026-07-08</w:t>
        <w:br/>
        <w:t>原文链接：https://sst.suzhou.gov.cn/ndaservplat/Apps/sme/index.php?s=/Home/Notice/noticeDetail/id/1350</w:t>
      </w:r>
    </w:p>
    <w:p>
      <w:pPr>
        <w:ind w:left="240"/>
      </w:pPr>
      <w:r>
        <w:t>按实际支付智能算力租用费用的30%，给予每年最高200万元补贴。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《2026年中小企业数字化转型城市试点有关工作》</w:t>
      </w:r>
    </w:p>
    <w:p>
      <w:r>
        <w:rPr>
          <w:color w:val="646464"/>
          <w:sz w:val="20"/>
        </w:rPr>
        <w:t>文　　号：暂无</w:t>
        <w:br/>
        <w:t>发文机关：广州市工业和信息化局</w:t>
        <w:br/>
        <w:t>发文日期：2026-07-03</w:t>
        <w:br/>
        <w:t>原文链接：https://gxj.gz.gov.cn/zt/zdzt/axqyszhzxzq/content/post_10755502.html</w:t>
      </w:r>
    </w:p>
    <w:p>
      <w:pPr>
        <w:ind w:left="240"/>
      </w:pPr>
      <w:r>
        <w:t>省级城市试点政策延期至2026年12月31日，支持中小企业数字化改造。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发文日期：2026-06-22</w:t>
      </w:r>
    </w:p>
    <w:p>
      <w:pPr>
        <w:ind w:left="240"/>
      </w:pPr>
      <w:r>
        <w:t>规范网络数据安全风险评估活动，自2026年8月20日起施行。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号：工信部联网安〔2026〕27号</w:t>
        <w:br/>
        <w:t>发文机关：工业和信息化部等八部门</w:t>
        <w:br/>
        <w:t>发文日期：2026-02-03</w:t>
        <w:br/>
        <w:t>原文链接：https://www.cac.gov.cn/2026-02/03/c_1771851453192164.htm</w:t>
      </w:r>
    </w:p>
    <w:p>
      <w:pPr>
        <w:ind w:left="240"/>
      </w:pPr>
      <w:r>
        <w:t>建立高效便利安全的汽车数据跨境流动机制，提升出境便利化水平。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《北京市制造业数字化转型实施方案（2024-2026年）》</w:t>
      </w:r>
    </w:p>
    <w:p>
      <w:r>
        <w:rPr>
          <w:color w:val="646464"/>
          <w:sz w:val="20"/>
        </w:rPr>
        <w:t>文　　号：京经信发〔2024〕8号</w:t>
        <w:br/>
        <w:t>发文机关：北京市经济和信息化局</w:t>
        <w:br/>
        <w:t>发文日期：2026-01-15</w:t>
        <w:br/>
        <w:t>原文链接：https://www.beijing.gov.cn/zhengce/gfxwj/sj/202403/t20240304_3579955.html</w:t>
      </w:r>
    </w:p>
    <w:p>
      <w:pPr>
        <w:ind w:left="240"/>
      </w:pPr>
      <w:r>
        <w:t>推动北京市制造业率先实现数字化转型，发挥基础支撑作用。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《2026年省级工业数字化转型项目申报》</w:t>
      </w:r>
    </w:p>
    <w:p>
      <w:r>
        <w:rPr>
          <w:color w:val="646464"/>
          <w:sz w:val="20"/>
        </w:rPr>
        <w:t>文　　号：闽工信函信息〔2026〕43号</w:t>
        <w:br/>
        <w:t>发文机关：福建省工业和信息化厅</w:t>
        <w:br/>
        <w:t>发文日期：2026-01-28</w:t>
        <w:br/>
        <w:t>原文链接：https://gxt.fujian.gov.cn/zwgk/zfxxgk/fdzdgknr/gzdt/202601/t20260128_7086399.htm?assistant=true</w:t>
      </w:r>
    </w:p>
    <w:p>
      <w:pPr>
        <w:ind w:left="240"/>
      </w:pPr>
      <w:r>
        <w:t>组织开展省级工业数字化转型项目申报，推动产业数字化升级。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《2026年工业互联网重点项目补助》</w:t>
      </w:r>
    </w:p>
    <w:p>
      <w:r>
        <w:rPr>
          <w:color w:val="646464"/>
          <w:sz w:val="20"/>
        </w:rPr>
        <w:t>文　　号：暂无</w:t>
        <w:br/>
        <w:t>发文机关：福州市工业和信息化局、福州市财政局</w:t>
        <w:br/>
        <w:t>发文日期：2026-03-26</w:t>
        <w:br/>
        <w:t>原文链接：https://www.fuzhou.gov.cn/zwgk/zxwj/bmwj_1/202603/t20260326_5301055.htm</w:t>
      </w:r>
    </w:p>
    <w:p>
      <w:pPr>
        <w:ind w:left="240"/>
      </w:pPr>
      <w:r>
        <w:t>按实际投资额的20%予以补助，最高不超过200万元。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《中国（北京）自由贸易试验区数据出境负面清单及管理办法》</w:t>
      </w:r>
    </w:p>
    <w:p>
      <w:r>
        <w:rPr>
          <w:color w:val="646464"/>
          <w:sz w:val="20"/>
        </w:rPr>
        <w:t>文　　号：暂无</w:t>
        <w:br/>
        <w:t>发文机关：北京市互联网信息办公室等三部门</w:t>
        <w:br/>
        <w:t>发文日期：2026-05-18</w:t>
        <w:br/>
        <w:t>原文链接：https://www.cac.gov.cn/wxzw/sjzl/A093708index_1.htm</w:t>
      </w:r>
    </w:p>
    <w:p>
      <w:pPr>
        <w:ind w:left="240"/>
      </w:pPr>
      <w:r>
        <w:t>明确自贸试验区数据出境负面清单，规范数据跨境流动。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《自由贸易试验区数据出境负面清单（上海）》</w:t>
      </w:r>
    </w:p>
    <w:p>
      <w:r>
        <w:rPr>
          <w:color w:val="646464"/>
          <w:sz w:val="20"/>
        </w:rPr>
        <w:t>文　　号：暂无</w:t>
        <w:br/>
        <w:t>发文机关：上海市网信办、上海市数据局</w:t>
        <w:br/>
        <w:t>发文日期：2026-04-29</w:t>
        <w:br/>
        <w:t>原文链接：https://www.cac.gov.cn/wxzw/sjzl/A093708index_1.htm</w:t>
      </w:r>
    </w:p>
    <w:p>
      <w:pPr>
        <w:ind w:left="240"/>
      </w:pPr>
      <w:r>
        <w:t>明确上海自贸试验区数据出境负面清单，促进数据安全有序流动。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《个人信息保护政策法规问答（2026年4月）》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发文日期：2026-04-11</w:t>
        <w:br/>
        <w:t>原文链接：https://www.cac.gov.cn/wxzw/sjzl/A093708index_1.htm</w:t>
      </w:r>
    </w:p>
    <w:p>
      <w:pPr>
        <w:ind w:left="240"/>
      </w:pPr>
      <w:r>
        <w:t>解答个人信息保护政策法规常见问题，指导合规实践。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《天津市算力产业发展实施方案（2024—2026年）》</w:t>
      </w:r>
    </w:p>
    <w:p>
      <w:r>
        <w:rPr>
          <w:color w:val="646464"/>
          <w:sz w:val="20"/>
        </w:rPr>
        <w:t>文　　号：暂无</w:t>
        <w:br/>
        <w:t>发文机关：天津市工业和信息化局</w:t>
        <w:br/>
        <w:t>发文日期：2026-01-22</w:t>
        <w:br/>
        <w:t>原文链接：https://gyxxh.tj.gov.cn/ZWGK4147/ZCWJ6355/sjwj/202407/t20240722_6681036.html</w:t>
      </w:r>
    </w:p>
    <w:p>
      <w:pPr>
        <w:ind w:left="240"/>
      </w:pPr>
      <w:r>
        <w:t>统筹通用、智能、超级算力一体化布局，打造算力产业发展高地。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近期《网络数据安全风险评估办法》与《汽车数据出境安全指引（2026版）》相继落地，标志着中国数据安全治理从原则性立法进入精细化操作阶段。前者确立风险评估的程序性框架，后者针对特定行业（汽车）出台数据出境专项指引，体现“分行业、分场景”的监管思路。这一制度逻辑旨在平衡安全与发展：通过明确合规路径降低企业不确定性，同时将监管资源聚焦于高风险领域。研判下一步，金融、医疗、能源等行业的数据出境负面清单将陆续出台，形成覆盖主要垂直领域的数据跨境流动规则体系。</w:t>
      </w:r>
    </w:p>
    <w:p>
      <w:r>
        <w:rPr>
          <w:b/>
          <w:color w:val="5B6DE4"/>
        </w:rPr>
        <w:t xml:space="preserve">②  </w:t>
      </w:r>
      <w:r>
        <w:t>趋势2（技术路线）：工信部《“人工智能+信息通信”创新发展实施意见》明确提出构建“枢纽—区域—边缘”三级算力设施体系，并建立统一算力标识体系。这标志着算力布局从粗放建设转向精细化运营，通过算力标识实现资源可度量、可调度，为全国一体化算力网奠定技术基础。国家数据局披露140万PFLOPS智能算力已接入试验验证平台，显示算力互联互通已从概念验证进入规模部署阶段。研判未来，算力标识标准将成为各方争夺的制高点，统一标识体系有望催生算力交易和结算的新业态。</w:t>
      </w:r>
    </w:p>
    <w:p>
      <w:r>
        <w:rPr>
          <w:b/>
          <w:color w:val="5B6DE4"/>
        </w:rPr>
        <w:t xml:space="preserve">③  </w:t>
      </w:r>
      <w:r>
        <w:t>趋势3（区域格局）：苏州、浙江、广西等地密集出台算力补贴和“人工智能+”行动方案，形成“国家定方向、地方给资源”的梯次推进格局。苏州按租用费用30%给予最高200万元补贴，浙江使用超长期特别国债资金支持算力券兑付，广西则定位“面向东盟的人工智能国际合作高地”。这种区域差异化布局的逻辑在于：东部发达地区侧重产业升级和成本降低，中西部和边疆地区侧重区位优势和国际合作。研判下一步，算力补贴政策将从“普惠制”转向“绩效制”，与当地产业特色深度绑定，避免重复建设和资源浪费。</w:t>
      </w:r>
    </w:p>
    <w:p>
      <w:r>
        <w:rPr>
          <w:b/>
          <w:color w:val="5B6DE4"/>
        </w:rPr>
        <w:t xml:space="preserve">④  </w:t>
      </w:r>
      <w:r>
        <w:t>趋势4（产业影响）：国家数据局《2026年数字经济发展工作要点》提出加快建立全国统一数据产权登记制度，并制定建设全国一体化数据市场相关政策文件。这是数据要素市场化配置改革的关键突破——产权登记是数据确权的基础设施，一体化数据市场则是价值流通的载体。同时，国家公共数据资源登记平台已登记资源近30万项，12家央企编制数据开放清单，显示公共数据授权运营正从试点走向规模化。研判未来，数据资产入表将倒逼企业建立数据资源管理体系，数据中介服务机构将迎来爆发式增长。</w:t>
      </w:r>
    </w:p>
    <w:p>
      <w:r>
        <w:rPr>
          <w:b/>
          <w:color w:val="5B6DE4"/>
        </w:rPr>
        <w:t xml:space="preserve">⑤  </w:t>
      </w:r>
      <w:r>
        <w:t>趋势5（安全合规）：八部门联合发布《可能影响未成年人身心健康的网络信息分类标准》与《互联网用户账号信息管理规定》同日施行，显示内容治理与数据安全并行的监管框架正在成型。前者细化内容分级标准，后者强化账号实名制和动态核验，两者共同构成网络空间“主体+内容”的双重治理体系。这一逻辑的核心在于：随着AI生成内容普及，传统的事后追责模式难以为继，必须通过前置性身份认证和内容标识实现源头治理。研判下一步，AI生成内容的强制标识义务将扩展到更多平台，深度合成技术备案制度将进一步完善。</w:t>
      </w:r>
    </w:p>
    <w:p>
      <w:r>
        <w:rPr>
          <w:b/>
          <w:color w:val="5B6DE4"/>
        </w:rPr>
        <w:t xml:space="preserve">⑥  </w:t>
      </w:r>
      <w:r>
        <w:t>趋势6（国际比较）：中国在算力基础设施和AI应用层面的政策推进速度明显快于日美欧，但在基础研究和国际规则制定上仍存差距。日本数字厅近期推动AI安全评估框架，侧重技术标准与国际协调；欧盟《AI法案》进入实施阶段，强调风险分级和基本权利保护；美国则通过行政令聚焦联邦机构AI应用治理。中国以“数据要素×”和“人工智能+”行动为抓手，走的是“以应用促发展”的路径，而欧美更侧重“以规制促信任”。研判未来，中国在算力互联、数据跨境等领域的实践探索可能形成事实标准，但需警惕与欧美监管框架的兼容性风险，特别是在数据出境和AI伦理领域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