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生成日期：2026-09-03　　数据 · 算力 · 信息化</w:t>
      </w:r>
    </w:p>
    <w:p/>
    <w:p>
      <w:pPr>
        <w:pStyle w:val="Heading1"/>
      </w:pPr>
      <w:r>
        <w:rPr>
          <w:color w:val="5B6DE4"/>
          <w:sz w:val="28"/>
        </w:rPr>
        <w:t>一、过去 24 小时关键政策</w:t>
      </w:r>
    </w:p>
    <w:p/>
    <w:p>
      <w:pPr>
        <w:pStyle w:val="Heading1"/>
      </w:pPr>
      <w:r>
        <w:rPr>
          <w:color w:val="5B6DE4"/>
          <w:sz w:val="28"/>
        </w:rPr>
        <w:t>二、过去一个月主要政策动向</w:t>
      </w:r>
    </w:p>
    <w:p>
      <w:r>
        <w:rPr>
          <w:b/>
          <w:sz w:val="24"/>
        </w:rPr>
        <w:t>《日本AI制度相关阁僚会议推进方针》</w:t>
      </w:r>
    </w:p>
    <w:p>
      <w:r>
        <w:rPr>
          <w:color w:val="646464"/>
          <w:sz w:val="20"/>
        </w:rPr>
        <w:t>文　　号：暂无</w:t>
        <w:br/>
        <w:t>发文机关：日本内阁府</w:t>
        <w:br/>
        <w:t>发文日期：2026-08-20</w:t>
      </w:r>
    </w:p>
    <w:p>
      <w:pPr>
        <w:ind w:left="240"/>
      </w:pPr>
      <w:r>
        <w:t>日本加速制定AI治理与产业促进综合战略方针。</w:t>
      </w:r>
    </w:p>
    <w:p>
      <w:pPr>
        <w:spacing w:before="0" w:after="80"/>
        <w:pBdr>
          <w:bottom w:val="single" w:sz="4" w:space="1" w:color="DDDDDD"/>
        </w:pBdr>
      </w:pPr>
    </w:p>
    <w:p>
      <w:r>
        <w:rPr>
          <w:b/>
          <w:sz w:val="24"/>
        </w:rPr>
        <w:t>《欧盟《数据法》实施指南修订版》</w:t>
      </w:r>
    </w:p>
    <w:p>
      <w:r>
        <w:rPr>
          <w:color w:val="646464"/>
          <w:sz w:val="20"/>
        </w:rPr>
        <w:t>文　　号：暂无</w:t>
        <w:br/>
        <w:t>发文机关：欧盟委员会</w:t>
        <w:br/>
        <w:t>发文日期：2026-08-15</w:t>
      </w:r>
    </w:p>
    <w:p>
      <w:pPr>
        <w:ind w:left="240"/>
      </w:pPr>
      <w:r>
        <w:t>细化数据共享与互操作性规则，明确企业合规路径。</w:t>
      </w:r>
    </w:p>
    <w:p>
      <w:pPr>
        <w:spacing w:before="0" w:after="80"/>
        <w:pBdr>
          <w:bottom w:val="single" w:sz="4" w:space="1" w:color="DDDDDD"/>
        </w:pBdr>
      </w:pPr>
    </w:p>
    <w:p>
      <w:r>
        <w:rPr>
          <w:b/>
          <w:sz w:val="24"/>
        </w:rPr>
        <w:t>《美国NIST人工智能风险管理框架生成式AI扩展草案》</w:t>
      </w:r>
    </w:p>
    <w:p>
      <w:r>
        <w:rPr>
          <w:color w:val="646464"/>
          <w:sz w:val="20"/>
        </w:rPr>
        <w:t>文　　号：暂无</w:t>
        <w:br/>
        <w:t>发文机关：美国国家标准与技术研究院（NIST）</w:t>
        <w:br/>
        <w:t>发文日期：2026-08-10</w:t>
      </w:r>
    </w:p>
    <w:p>
      <w:pPr>
        <w:ind w:left="240"/>
      </w:pPr>
      <w:r>
        <w:t>针对生成式AI提出风险缓解策略与生命周期治理建议。</w:t>
      </w:r>
    </w:p>
    <w:p>
      <w:pPr>
        <w:spacing w:before="0" w:after="80"/>
        <w:pBdr>
          <w:bottom w:val="single" w:sz="4" w:space="1" w:color="DDDDDD"/>
        </w:pBdr>
      </w:pPr>
    </w:p>
    <w:p>
      <w:r>
        <w:rPr>
          <w:b/>
          <w:sz w:val="24"/>
        </w:rPr>
        <w:t>《广东省数据条例（草案征求意见稿）》</w:t>
      </w:r>
    </w:p>
    <w:p>
      <w:r>
        <w:rPr>
          <w:color w:val="646464"/>
          <w:sz w:val="20"/>
        </w:rPr>
        <w:t>文　　号：暂无</w:t>
        <w:br/>
        <w:t>发文机关：广东省政务服务和数据管理局</w:t>
        <w:br/>
        <w:t>发文日期：2026-08-18</w:t>
      </w:r>
    </w:p>
    <w:p>
      <w:pPr>
        <w:ind w:left="240"/>
      </w:pPr>
      <w:r>
        <w:t>确立数据权益、流通交易与安全监管的地方性规则。</w:t>
      </w:r>
    </w:p>
    <w:p>
      <w:pPr>
        <w:spacing w:before="0" w:after="80"/>
        <w:pBdr>
          <w:bottom w:val="single" w:sz="4" w:space="1" w:color="DDDDDD"/>
        </w:pBdr>
      </w:pPr>
    </w:p>
    <w:p>
      <w:r>
        <w:rPr>
          <w:b/>
          <w:sz w:val="24"/>
        </w:rPr>
        <w:t>《上海市人工智能大模型创新发展若干措施》</w:t>
      </w:r>
    </w:p>
    <w:p>
      <w:r>
        <w:rPr>
          <w:color w:val="646464"/>
          <w:sz w:val="20"/>
        </w:rPr>
        <w:t>文　　号：暂无</w:t>
        <w:br/>
        <w:t>发文机关：上海市经济和信息化委员会</w:t>
        <w:br/>
        <w:t>发文日期：2026-08-12</w:t>
      </w:r>
    </w:p>
    <w:p>
      <w:pPr>
        <w:ind w:left="240"/>
      </w:pPr>
      <w:r>
        <w:t>支持大模型技术攻关、算力供给与行业应用落地。</w:t>
      </w:r>
    </w:p>
    <w:p>
      <w:pPr>
        <w:spacing w:before="0" w:after="80"/>
        <w:pBdr>
          <w:bottom w:val="single" w:sz="4" w:space="1" w:color="DDDDDD"/>
        </w:pBdr>
      </w:pPr>
    </w:p>
    <w:p>
      <w:r>
        <w:rPr>
          <w:b/>
          <w:sz w:val="24"/>
        </w:rPr>
        <w:t>《浙江省数字经济核心产业培育提升行动方案》</w:t>
      </w:r>
    </w:p>
    <w:p>
      <w:r>
        <w:rPr>
          <w:color w:val="646464"/>
          <w:sz w:val="20"/>
        </w:rPr>
        <w:t>文　　号：暂无</w:t>
        <w:br/>
        <w:t>发文机关：浙江省经济和信息化厅</w:t>
        <w:br/>
        <w:t>发文日期：2026-08-05</w:t>
      </w:r>
    </w:p>
    <w:p>
      <w:pPr>
        <w:ind w:left="240"/>
      </w:pPr>
      <w:r>
        <w:t>聚焦数字产业集群，推动数字经济核心产业做优做强。</w:t>
      </w:r>
    </w:p>
    <w:p>
      <w:pPr>
        <w:spacing w:before="0" w:after="80"/>
        <w:pBdr>
          <w:bottom w:val="single" w:sz="4" w:space="1" w:color="DDDDDD"/>
        </w:pBdr>
      </w:pPr>
    </w:p>
    <w:p>
      <w:r>
        <w:rPr>
          <w:b/>
          <w:sz w:val="24"/>
        </w:rPr>
        <w:t>《国家信息化发展报告（2025年）》</w:t>
      </w:r>
    </w:p>
    <w:p>
      <w:r>
        <w:rPr>
          <w:color w:val="646464"/>
          <w:sz w:val="20"/>
        </w:rPr>
        <w:t>文　　号：暂无</w:t>
        <w:br/>
        <w:t>发文机关：国家互联网信息办公室</w:t>
        <w:br/>
        <w:t>发文日期：2026-08-07</w:t>
        <w:br/>
        <w:t>原文链接：https://www.cac.gov.cn/wxzw/wxfb/A093702index_1.htm</w:t>
      </w:r>
    </w:p>
    <w:p>
      <w:pPr>
        <w:ind w:left="240"/>
      </w:pPr>
      <w:r>
        <w:t>全面总结2025年国家信息化发展成就与最新态势。</w:t>
      </w:r>
    </w:p>
    <w:p>
      <w:pPr>
        <w:spacing w:before="0" w:after="80"/>
        <w:pBdr>
          <w:bottom w:val="single" w:sz="4" w:space="1" w:color="DDDDDD"/>
        </w:pBdr>
      </w:pPr>
    </w:p>
    <w:p>
      <w:r>
        <w:rPr>
          <w:b/>
          <w:sz w:val="24"/>
        </w:rPr>
        <w:t>《小型个人信息处理者个人信息保护简化措施规定》</w:t>
      </w:r>
    </w:p>
    <w:p>
      <w:r>
        <w:rPr>
          <w:color w:val="646464"/>
          <w:sz w:val="20"/>
        </w:rPr>
        <w:t>文　　号：暂无</w:t>
        <w:br/>
        <w:t>发文机关：国家网信办、公安部</w:t>
        <w:br/>
        <w:t>发文日期：2026-07-24</w:t>
        <w:br/>
        <w:t>原文链接：https://www.cac.gov.cn/wxzw/wxfb/A093702index_1.htm</w:t>
      </w:r>
    </w:p>
    <w:p>
      <w:pPr>
        <w:ind w:left="240"/>
      </w:pPr>
      <w:r>
        <w:t>为小型处理者制定简化合规措施，减轻中小主体负担。</w:t>
      </w:r>
    </w:p>
    <w:p>
      <w:pPr>
        <w:spacing w:before="0" w:after="80"/>
        <w:pBdr>
          <w:bottom w:val="single" w:sz="4" w:space="1" w:color="DDDDDD"/>
        </w:pBdr>
      </w:pPr>
    </w:p>
    <w:p>
      <w:r>
        <w:rPr>
          <w:b/>
          <w:sz w:val="24"/>
        </w:rPr>
        <w:t>《深化互联网协议第六版（IPv6）技术创新和融合应用实施方案》</w:t>
      </w:r>
    </w:p>
    <w:p>
      <w:r>
        <w:rPr>
          <w:color w:val="646464"/>
          <w:sz w:val="20"/>
        </w:rPr>
        <w:t>文　　号：暂无</w:t>
        <w:br/>
        <w:t>发文机关：国家互联网信息办公室</w:t>
        <w:br/>
        <w:t>发文日期：2026-07-24</w:t>
        <w:br/>
        <w:t>原文链接：https://www.cac.gov.cn/wxzw/wxfb/A093702index_1.htm</w:t>
      </w:r>
    </w:p>
    <w:p>
      <w:pPr>
        <w:ind w:left="240"/>
      </w:pPr>
      <w:r>
        <w:t>推进IPv6规模部署与技术创新，深化融合应用。</w:t>
      </w:r>
    </w:p>
    <w:p>
      <w:pPr>
        <w:spacing w:before="0" w:after="80"/>
        <w:pBdr>
          <w:bottom w:val="single" w:sz="4" w:space="1" w:color="DDDDDD"/>
        </w:pBdr>
      </w:pPr>
    </w:p>
    <w:p>
      <w:r>
        <w:rPr>
          <w:b/>
          <w:sz w:val="24"/>
        </w:rPr>
        <w:t>《工业绿色低碳发展“十五五”规划》</w:t>
      </w:r>
    </w:p>
    <w:p>
      <w:r>
        <w:rPr>
          <w:color w:val="646464"/>
          <w:sz w:val="20"/>
        </w:rPr>
        <w:t>文　　号：工信部规〔2026〕169号</w:t>
        <w:br/>
        <w:t>发文机关：工业和信息化部</w:t>
        <w:br/>
        <w:t>发文日期：2026-07-15</w:t>
        <w:br/>
        <w:t>原文链接：https://www.miit.gov.cn/zwgk/zcwj/wjfb/</w:t>
      </w:r>
    </w:p>
    <w:p>
      <w:pPr>
        <w:ind w:left="240"/>
      </w:pPr>
      <w:r>
        <w:t>规划十五五工业绿色低碳发展，涉及数字化绿色化协同。</w:t>
      </w:r>
    </w:p>
    <w:p>
      <w:pPr>
        <w:spacing w:before="0" w:after="80"/>
        <w:pBdr>
          <w:bottom w:val="single" w:sz="4" w:space="1" w:color="DDDDDD"/>
        </w:pBdr>
      </w:pPr>
    </w:p>
    <w:p/>
    <w:p>
      <w:pPr>
        <w:pStyle w:val="Heading1"/>
      </w:pPr>
      <w:r>
        <w:rPr>
          <w:color w:val="5B6DE4"/>
          <w:sz w:val="28"/>
        </w:rPr>
        <w:t>三、今年以来主要政策</w:t>
      </w:r>
    </w:p>
    <w:p>
      <w:r>
        <w:rPr>
          <w:b/>
          <w:sz w:val="24"/>
        </w:rPr>
        <w:t>《关于促进数据产业高质量发展的指导意见》</w:t>
      </w:r>
    </w:p>
    <w:p>
      <w:r>
        <w:rPr>
          <w:color w:val="646464"/>
          <w:sz w:val="20"/>
        </w:rPr>
        <w:t>文　　号：暂无</w:t>
        <w:br/>
        <w:t>发文机关：国家数据局</w:t>
        <w:br/>
        <w:t>发文日期：2026-05-20</w:t>
      </w:r>
    </w:p>
    <w:p>
      <w:pPr>
        <w:ind w:left="240"/>
      </w:pPr>
      <w:r>
        <w:t>提出培育数据产业生态，壮大数据要素市场。</w:t>
      </w:r>
    </w:p>
    <w:p>
      <w:pPr>
        <w:spacing w:before="0" w:after="80"/>
        <w:pBdr>
          <w:bottom w:val="single" w:sz="4" w:space="1" w:color="DDDDDD"/>
        </w:pBdr>
      </w:pPr>
    </w:p>
    <w:p>
      <w:r>
        <w:rPr>
          <w:b/>
          <w:sz w:val="24"/>
        </w:rPr>
        <w:t>《生成式人工智能服务管理暂行办法（修订版）》</w:t>
      </w:r>
    </w:p>
    <w:p>
      <w:r>
        <w:rPr>
          <w:color w:val="646464"/>
          <w:sz w:val="20"/>
        </w:rPr>
        <w:t>文　　号：暂无</w:t>
        <w:br/>
        <w:t>发文机关：国家网信办等七部门</w:t>
        <w:br/>
        <w:t>发文日期：2026-04-15</w:t>
      </w:r>
    </w:p>
    <w:p>
      <w:pPr>
        <w:ind w:left="240"/>
      </w:pPr>
      <w:r>
        <w:t>完善生成式AI服务分类分级监管与安全评估要求。</w:t>
      </w:r>
    </w:p>
    <w:p>
      <w:pPr>
        <w:spacing w:before="0" w:after="80"/>
        <w:pBdr>
          <w:bottom w:val="single" w:sz="4" w:space="1" w:color="DDDDDD"/>
        </w:pBdr>
      </w:pPr>
    </w:p>
    <w:p>
      <w:r>
        <w:rPr>
          <w:b/>
          <w:sz w:val="24"/>
        </w:rPr>
        <w:t>《全国一体化算力网建设实施指南》</w:t>
      </w:r>
    </w:p>
    <w:p>
      <w:r>
        <w:rPr>
          <w:color w:val="646464"/>
          <w:sz w:val="20"/>
        </w:rPr>
        <w:t>文　　号：暂无</w:t>
        <w:br/>
        <w:t>发文机关：国家发展改革委、国家数据局</w:t>
        <w:br/>
        <w:t>发文日期：2026-03-30</w:t>
      </w:r>
    </w:p>
    <w:p>
      <w:pPr>
        <w:ind w:left="240"/>
      </w:pPr>
      <w:r>
        <w:t>加快构建全国一体化算力网，优化算力资源配置。</w:t>
      </w:r>
    </w:p>
    <w:p>
      <w:pPr>
        <w:spacing w:before="0" w:after="80"/>
        <w:pBdr>
          <w:bottom w:val="single" w:sz="4" w:space="1" w:color="DDDDDD"/>
        </w:pBdr>
      </w:pPr>
    </w:p>
    <w:p>
      <w:r>
        <w:rPr>
          <w:b/>
          <w:sz w:val="24"/>
        </w:rPr>
        <w:t>《数字中国建设整体布局规划2026年工作要点》</w:t>
      </w:r>
    </w:p>
    <w:p>
      <w:r>
        <w:rPr>
          <w:color w:val="646464"/>
          <w:sz w:val="20"/>
        </w:rPr>
        <w:t>文　　号：暂无</w:t>
        <w:br/>
        <w:t>发文机关：中央网络安全和信息化委员会</w:t>
        <w:br/>
        <w:t>发文日期：2026-03-10</w:t>
      </w:r>
    </w:p>
    <w:p>
      <w:pPr>
        <w:ind w:left="240"/>
      </w:pPr>
      <w:r>
        <w:t>部署年度数字中国建设重点任务与责任分工。</w:t>
      </w:r>
    </w:p>
    <w:p>
      <w:pPr>
        <w:spacing w:before="0" w:after="80"/>
        <w:pBdr>
          <w:bottom w:val="single" w:sz="4" w:space="1" w:color="DDDDDD"/>
        </w:pBdr>
      </w:pPr>
    </w:p>
    <w:p>
      <w:r>
        <w:rPr>
          <w:b/>
          <w:sz w:val="24"/>
        </w:rPr>
        <w:t>《江苏省制造业智能化改造和数字化转型三年行动计划》</w:t>
      </w:r>
    </w:p>
    <w:p>
      <w:r>
        <w:rPr>
          <w:color w:val="646464"/>
          <w:sz w:val="20"/>
        </w:rPr>
        <w:t>文　　号：暂无</w:t>
        <w:br/>
        <w:t>发文机关：江苏省工业和信息化厅</w:t>
        <w:br/>
        <w:t>发文日期：2026-04-08</w:t>
      </w:r>
    </w:p>
    <w:p>
      <w:pPr>
        <w:ind w:left="240"/>
      </w:pPr>
      <w:r>
        <w:t>推动制造业智改数转网联，培育新质生产力。</w:t>
      </w:r>
    </w:p>
    <w:p>
      <w:pPr>
        <w:spacing w:before="0" w:after="80"/>
        <w:pBdr>
          <w:bottom w:val="single" w:sz="4" w:space="1" w:color="DDDDDD"/>
        </w:pBdr>
      </w:pPr>
    </w:p>
    <w:p>
      <w:r>
        <w:rPr>
          <w:b/>
          <w:sz w:val="24"/>
        </w:rPr>
        <w:t>《辽宁省工业互联网创新发展行动计划》</w:t>
      </w:r>
    </w:p>
    <w:p>
      <w:r>
        <w:rPr>
          <w:color w:val="646464"/>
          <w:sz w:val="20"/>
        </w:rPr>
        <w:t>文　　号：暂无</w:t>
        <w:br/>
        <w:t>发文机关：辽宁省工业和信息化厅</w:t>
        <w:br/>
        <w:t>发文日期：2026-03-25</w:t>
      </w:r>
    </w:p>
    <w:p>
      <w:pPr>
        <w:ind w:left="240"/>
      </w:pPr>
      <w:r>
        <w:t>加快工业互联网体系建设，赋能老工业基地转型。</w:t>
      </w:r>
    </w:p>
    <w:p>
      <w:pPr>
        <w:spacing w:before="0" w:after="80"/>
        <w:pBdr>
          <w:bottom w:val="single" w:sz="4" w:space="1" w:color="DDDDDD"/>
        </w:pBdr>
      </w:pPr>
    </w:p>
    <w:p>
      <w:r>
        <w:rPr>
          <w:b/>
          <w:sz w:val="24"/>
        </w:rPr>
        <w:t>《日本数字社会推进重点计划》</w:t>
      </w:r>
    </w:p>
    <w:p>
      <w:r>
        <w:rPr>
          <w:color w:val="646464"/>
          <w:sz w:val="20"/>
        </w:rPr>
        <w:t>文　　号：暂无</w:t>
        <w:br/>
        <w:t>发文机关：日本内阁府</w:t>
        <w:br/>
        <w:t>发文日期：2026-06-15</w:t>
      </w:r>
    </w:p>
    <w:p>
      <w:pPr>
        <w:ind w:left="240"/>
      </w:pPr>
      <w:r>
        <w:t>明确日本数字社会建设年度优先事项与改革方向。</w:t>
      </w:r>
    </w:p>
    <w:p>
      <w:pPr>
        <w:spacing w:before="0" w:after="80"/>
        <w:pBdr>
          <w:bottom w:val="single" w:sz="4" w:space="1" w:color="DDDDDD"/>
        </w:pBdr>
      </w:pPr>
    </w:p>
    <w:p>
      <w:r>
        <w:rPr>
          <w:b/>
          <w:sz w:val="24"/>
        </w:rPr>
        <w:t>《欧盟《人工智能法》合规指引》</w:t>
      </w:r>
    </w:p>
    <w:p>
      <w:r>
        <w:rPr>
          <w:color w:val="646464"/>
          <w:sz w:val="20"/>
        </w:rPr>
        <w:t>文　　号：暂无</w:t>
        <w:br/>
        <w:t>发文机关：欧盟委员会</w:t>
        <w:br/>
        <w:t>发文日期：2026-05-05</w:t>
      </w:r>
    </w:p>
    <w:p>
      <w:pPr>
        <w:ind w:left="240"/>
      </w:pPr>
      <w:r>
        <w:t>细化高风险AI系统全生命周期合规要求与操作指引。</w:t>
      </w:r>
    </w:p>
    <w:p>
      <w:pPr>
        <w:spacing w:before="0" w:after="80"/>
        <w:pBdr>
          <w:bottom w:val="single" w:sz="4" w:space="1" w:color="DDDDDD"/>
        </w:pBdr>
      </w:pPr>
    </w:p>
    <w:p>
      <w:r>
        <w:rPr>
          <w:b/>
          <w:sz w:val="24"/>
        </w:rPr>
        <w:t>《美国关于数字资产与金融科技的国家战略》</w:t>
      </w:r>
    </w:p>
    <w:p>
      <w:r>
        <w:rPr>
          <w:color w:val="646464"/>
          <w:sz w:val="20"/>
        </w:rPr>
        <w:t>文　　号：暂无</w:t>
        <w:br/>
        <w:t>发文机关：美国白宫</w:t>
        <w:br/>
        <w:t>发文日期：2026-02-18</w:t>
      </w:r>
    </w:p>
    <w:p>
      <w:pPr>
        <w:ind w:left="240"/>
      </w:pPr>
      <w:r>
        <w:t>确立数字资产监管框架，平衡创新与风险防范。</w:t>
      </w:r>
    </w:p>
    <w:p>
      <w:pPr>
        <w:spacing w:before="0" w:after="80"/>
        <w:pBdr>
          <w:bottom w:val="single" w:sz="4" w:space="1" w:color="DDDDDD"/>
        </w:pBdr>
      </w:pPr>
    </w:p>
    <w:p>
      <w:r>
        <w:rPr>
          <w:b/>
          <w:sz w:val="24"/>
        </w:rPr>
        <w:t>《浙江省公共数据授权运营管理办法》</w:t>
      </w:r>
    </w:p>
    <w:p>
      <w:r>
        <w:rPr>
          <w:color w:val="646464"/>
          <w:sz w:val="20"/>
        </w:rPr>
        <w:t>文　　号：暂无</w:t>
        <w:br/>
        <w:t>发文机关：浙江省人民政府</w:t>
        <w:br/>
        <w:t>发文日期：2026-01-20</w:t>
      </w:r>
    </w:p>
    <w:p>
      <w:pPr>
        <w:ind w:left="240"/>
      </w:pPr>
      <w:r>
        <w:t>规范公共数据授权运营，促进数据价值释放。</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国家网信办8月21日发布《促进网信企业高质量发展行动计划（2026-2030年）》，首次以五年专项规划形式聚焦网信企业梯队培育。其逻辑在于，面对中美科技竞争与产业链重构，政策重心正从单纯的市场监管转向‘监管与扶持并重’，试图通过培育一批世界一流网信企业来强化数字中国建设的主体支撑。研判：后续将配套出台税收优惠、政府采购、上市融资等细化举措，网信领域或将迎来一轮并购整合潮，但如何平衡‘扶持龙头’与‘维护中小微企业公平竞争’将成为政策执行中的关键看点。</w:t>
      </w:r>
    </w:p>
    <w:p>
      <w:r>
        <w:rPr>
          <w:b/>
          <w:color w:val="5B6DE4"/>
        </w:rPr>
        <w:t xml:space="preserve">②  </w:t>
      </w:r>
      <w:r>
        <w:t>趋势2（技术路线）：工信部7月15日印发《工业绿色低碳发展“十五五”规划》，将数字化赋能绿色化作为核心路径。这标志着‘双化协同’从理念倡导进入量化实施阶段，工业互联网、AI节能降碳算法、数字孪生等技术将获得更明确的场景落地机会。其背后的逻辑是，单纯依赖末端治理已无法满足碳达峰要求，必须通过数字技术重构生产流程。研判：下一阶段，钢铁、化工、建材等高耗能行业的数字化改造补贴标准有望提高，具备‘绿色+数字’双重属性的解决方案商将迎来政策红利期。</w:t>
      </w:r>
    </w:p>
    <w:p>
      <w:r>
        <w:rPr>
          <w:b/>
          <w:color w:val="5B6DE4"/>
        </w:rPr>
        <w:t xml:space="preserve">③  </w:t>
      </w:r>
      <w:r>
        <w:t>趋势3（区域格局）：长三角与珠三角在数据要素立法上呈现竞速态势。浙江1月出台公共数据授权运营管理办法后，广东8月发布《数据条例（草案）》征求意见，上海则聚焦大模型专项政策。三地路径分化明显：浙江侧重公共数据开发，广东强调数据权益全链条，上海主攻技术攻关。逻辑在于，各地试图通过制度创新抢占数据要素市场化配置的改革高地，以吸引数据密集型产业集聚。研判：国家层面的《数据产权制度》若年内出台，将对地方先行先试规则进行统一，届时广东、浙江的探索经验或将被吸收为全国性制度蓝本。</w:t>
      </w:r>
    </w:p>
    <w:p>
      <w:r>
        <w:rPr>
          <w:b/>
          <w:color w:val="5B6DE4"/>
        </w:rPr>
        <w:t xml:space="preserve">④  </w:t>
      </w:r>
      <w:r>
        <w:t>趋势4（产业影响）：美国NIST于8月10日发布生成式AI风险管理框架扩展草案，与欧盟《人工智能法》合规指引形成呼应。跨大西洋监管标准趋同，将推高全球AI企业的合规成本，尤其对基础模型开发商提出更严格的透明度与红队测试要求。逻辑上，西方主要经济体正试图通过‘安全标准’构建非关税壁垒，掌握AI治理话语权。研判：中国AI企业出海将面临‘双重合规’压力——既要满足国内生成式AI管理办法，又要适配欧美标准。这或倒逼国内监管框架进一步与国际接轨，在数据跨境流动、模型审计等领域开展双边互认谈判。</w:t>
      </w:r>
    </w:p>
    <w:p>
      <w:r>
        <w:rPr>
          <w:b/>
          <w:color w:val="5B6DE4"/>
        </w:rPr>
        <w:t xml:space="preserve">⑤  </w:t>
      </w:r>
      <w:r>
        <w:t>趋势5（安全合规）：国家网信办与公安部7月24日联合公布《小型个人信息处理者个人信息保护简化措施规定》，是《个保法》实施后的重要弹性调整。其逻辑在于，严监管环境下中小微企业合规成本过高，已抑制数字经济末端活力，监管层开始探索‘分级分类’的差异化监管路径。这一转变承认了‘一刀切’规则的局限性，转向更精细化的治理。研判：下一步，针对大型平台的‘特别合规义务’清单或将同步收紧，形成‘大企业严管、小企业松绑’的双轨格局。这有助于优化营商环境，但需警惕部分企业通过拆分主体规避监管的风险。</w:t>
      </w:r>
    </w:p>
    <w:p>
      <w:r>
        <w:rPr>
          <w:b/>
          <w:color w:val="5B6DE4"/>
        </w:rPr>
        <w:t xml:space="preserve">⑥  </w:t>
      </w:r>
      <w:r>
        <w:t>趋势6（国际比较）：日本数字厅推进的‘数字社会重点计划’与中国的‘数字中国’战略在基础设施互联互通、政务数字化上目标相似，但路径迥异。日本侧重以‘My Number’卡为抓手的公共服务便利化，中国则强调‘全国一体化算力网’等底层能力建设。欧盟通过《数据法》《AI法》构建规则护城河，美国依靠NIST框架与行政令推动自愿性合规，而中国采取‘部门规章+地方试点’的渐进模式。研判：全球数字治理呈现‘规则碎片化’与‘技术标准化’并行态势。中国在算力基础设施的规模优势明显，但规则输出能力弱于欧盟。未来，中国或借助‘数字丝绸之路’在发展中国家推广其数据安全与算力合作模式，形成与欧美标准并行的第三极。</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