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生成日期：2026-07-22　　数据 · 算力 · 信息化</w:t>
      </w:r>
    </w:p>
    <w:p/>
    <w:p>
      <w:pPr>
        <w:pStyle w:val="Heading1"/>
      </w:pPr>
      <w:r>
        <w:rPr>
          <w:color w:val="5B6DE4"/>
          <w:sz w:val="28"/>
        </w:rPr>
        <w:t>一、过去 24 小时关键政策</w:t>
      </w:r>
    </w:p>
    <w:p>
      <w:r>
        <w:rPr>
          <w:b/>
          <w:sz w:val="24"/>
        </w:rPr>
        <w:t>《工业和信息化部关于印发《推动工业互联网平台高质量发展行动方案(2026—2028年)》的通知》</w:t>
      </w:r>
    </w:p>
    <w:p>
      <w:r>
        <w:rPr>
          <w:color w:val="646464"/>
          <w:sz w:val="20"/>
        </w:rPr>
        <w:t>文　　号：暂无</w:t>
        <w:br/>
        <w:t>发文机关：工业和信息化部</w:t>
        <w:br/>
        <w:t>发文日期：2026-07-10</w:t>
        <w:br/>
        <w:t>原文链接：https://www.miit.gov.cn/jgsj/xxjsfzs/index.html</w:t>
      </w:r>
    </w:p>
    <w:p>
      <w:pPr>
        <w:ind w:left="240"/>
      </w:pPr>
      <w:r>
        <w:t>部署工业互联网平台未来三年高质量发展任务。</w:t>
      </w:r>
    </w:p>
    <w:p>
      <w:pPr>
        <w:spacing w:before="0" w:after="80"/>
        <w:pBdr>
          <w:bottom w:val="single" w:sz="4" w:space="1" w:color="DDDDDD"/>
        </w:pBdr>
      </w:pPr>
    </w:p>
    <w:p>
      <w:r>
        <w:rPr>
          <w:b/>
          <w:sz w:val="24"/>
        </w:rPr>
        <w:t>《关于发布生成式人工智能服务已备案信息的公告(2026年5月至6月)》</w:t>
      </w:r>
    </w:p>
    <w:p>
      <w:r>
        <w:rPr>
          <w:color w:val="646464"/>
          <w:sz w:val="20"/>
        </w:rPr>
        <w:t>文　　号：暂无</w:t>
        <w:br/>
        <w:t>发文机关：中央网络安全和信息化委员会办公室</w:t>
        <w:br/>
        <w:t>发文日期：2026-07-10</w:t>
        <w:br/>
        <w:t>原文链接：https://www.cac.gov.cn/wxzw/wxfb/A093702index_1.htm</w:t>
      </w:r>
    </w:p>
    <w:p>
      <w:pPr>
        <w:ind w:left="240"/>
      </w:pPr>
      <w:r>
        <w:t>公布2026年5-6月生成式AI服务已备案信息。</w:t>
      </w:r>
    </w:p>
    <w:p>
      <w:pPr>
        <w:spacing w:before="0" w:after="80"/>
        <w:pBdr>
          <w:bottom w:val="single" w:sz="4" w:space="1" w:color="DDDDDD"/>
        </w:pBdr>
      </w:pPr>
    </w:p>
    <w:p>
      <w:r>
        <w:rPr>
          <w:b/>
          <w:sz w:val="24"/>
        </w:rPr>
        <w:t>《工业和信息化部办公厅关于公布2025年国家自主创新示范区改革典型案例的通知》</w:t>
      </w:r>
    </w:p>
    <w:p>
      <w:r>
        <w:rPr>
          <w:color w:val="646464"/>
          <w:sz w:val="20"/>
        </w:rPr>
        <w:t>文　　号：暂无</w:t>
        <w:br/>
        <w:t>发文机关：工业和信息化部办公厅</w:t>
        <w:br/>
        <w:t>发文日期：2026-07-16</w:t>
        <w:br/>
        <w:t>原文链接：https://www.miit.gov.cn/xbymdz/zwgk/index.html</w:t>
      </w:r>
    </w:p>
    <w:p>
      <w:pPr>
        <w:ind w:left="240"/>
      </w:pPr>
      <w:r>
        <w:t>公布2025年国家自主创新示范区改革典型案例。</w:t>
      </w:r>
    </w:p>
    <w:p>
      <w:pPr>
        <w:spacing w:before="0" w:after="80"/>
        <w:pBdr>
          <w:bottom w:val="single" w:sz="4" w:space="1" w:color="DDDDDD"/>
        </w:pBdr>
      </w:pPr>
    </w:p>
    <w:p/>
    <w:p>
      <w:pPr>
        <w:pStyle w:val="Heading1"/>
      </w:pPr>
      <w:r>
        <w:rPr>
          <w:color w:val="5B6DE4"/>
          <w:sz w:val="28"/>
        </w:rPr>
        <w:t>二、过去一个月主要政策动向</w:t>
      </w:r>
    </w:p>
    <w:p>
      <w:r>
        <w:rPr>
          <w:b/>
          <w:sz w:val="24"/>
        </w:rPr>
        <w:t>《省发展改革委关于省政协十三届三次会议第678号提案的答复》</w:t>
      </w:r>
    </w:p>
    <w:p>
      <w:r>
        <w:rPr>
          <w:color w:val="646464"/>
          <w:sz w:val="20"/>
        </w:rPr>
        <w:t>文　　号：暂无</w:t>
        <w:br/>
        <w:t>发文机关：浙江省发展和改革委员会</w:t>
        <w:br/>
        <w:t>发文日期：2026-06-25</w:t>
      </w:r>
    </w:p>
    <w:p>
      <w:pPr>
        <w:ind w:left="240"/>
      </w:pPr>
      <w:r>
        <w:t>支持之江人工智能公共算力平台建设，推动算力普惠。</w:t>
      </w:r>
    </w:p>
    <w:p>
      <w:pPr>
        <w:spacing w:before="0" w:after="80"/>
        <w:pBdr>
          <w:bottom w:val="single" w:sz="4" w:space="1" w:color="DDDDDD"/>
        </w:pBdr>
      </w:pPr>
    </w:p>
    <w:p>
      <w:r>
        <w:rPr>
          <w:b/>
          <w:sz w:val="24"/>
        </w:rPr>
        <w:t>《关于印发《实施网络安全标识的产品目录(第一批)》及相关实施规则的通知》</w:t>
      </w:r>
    </w:p>
    <w:p>
      <w:r>
        <w:rPr>
          <w:color w:val="646464"/>
          <w:sz w:val="20"/>
        </w:rPr>
        <w:t>文　　号：暂无</w:t>
        <w:br/>
        <w:t>发文机关：中央网络安全和信息化委员会办公室</w:t>
        <w:br/>
        <w:t>发文日期：2026-06-18</w:t>
        <w:br/>
        <w:t>原文链接：https://www.cac.gov.cn/wxzw/wxfb/A093702index_1.htm</w:t>
      </w:r>
    </w:p>
    <w:p>
      <w:pPr>
        <w:ind w:left="240"/>
      </w:pPr>
      <w:r>
        <w:t>发布首批网络安全标识产品目录及实施规则。</w:t>
      </w:r>
    </w:p>
    <w:p>
      <w:pPr>
        <w:spacing w:before="0" w:after="80"/>
        <w:pBdr>
          <w:bottom w:val="single" w:sz="4" w:space="1" w:color="DDDDDD"/>
        </w:pBdr>
      </w:pPr>
    </w:p>
    <w:p>
      <w:r>
        <w:rPr>
          <w:b/>
          <w:sz w:val="24"/>
        </w:rPr>
        <w:t>《国家网信办等三部门联合公布《网络数据安全风险评估办法》》</w:t>
      </w:r>
    </w:p>
    <w:p>
      <w:r>
        <w:rPr>
          <w:color w:val="646464"/>
          <w:sz w:val="20"/>
        </w:rPr>
        <w:t>文　　号：暂无</w:t>
        <w:br/>
        <w:t>发文机关：国家网信办、工信部、公安部</w:t>
        <w:br/>
        <w:t>发文日期：2026-06-18</w:t>
        <w:br/>
        <w:t>原文链接：https://www.cac.gov.cn/wxzw/wxfb/A093702index_1.htm</w:t>
      </w:r>
    </w:p>
    <w:p>
      <w:pPr>
        <w:ind w:left="240"/>
      </w:pPr>
      <w:r>
        <w:t>三部门联合公布网络数据安全风险评估办法。</w:t>
      </w:r>
    </w:p>
    <w:p>
      <w:pPr>
        <w:spacing w:before="0" w:after="80"/>
        <w:pBdr>
          <w:bottom w:val="single" w:sz="4" w:space="1" w:color="DDDDDD"/>
        </w:pBdr>
      </w:pPr>
    </w:p>
    <w:p>
      <w:r>
        <w:rPr>
          <w:b/>
          <w:sz w:val="24"/>
        </w:rPr>
        <w:t>《关于推动互联网基础资源高质量发展的指导意见》</w:t>
      </w:r>
    </w:p>
    <w:p>
      <w:r>
        <w:rPr>
          <w:color w:val="646464"/>
          <w:sz w:val="20"/>
        </w:rPr>
        <w:t>文　　号：暂无</w:t>
        <w:br/>
        <w:t>发文机关：工业和信息化部、中央网信办、国家发展改革委、国家数据局</w:t>
        <w:br/>
        <w:t>发文日期：2026-07-01</w:t>
        <w:br/>
        <w:t>原文链接：https://gyxxh.tj.gov.cn/ZWGK4147/ZCWJ6355/gjjwj/202607/t20260713_7334666.html</w:t>
      </w:r>
    </w:p>
    <w:p>
      <w:pPr>
        <w:ind w:left="240"/>
      </w:pPr>
      <w:r>
        <w:t>四部门联合印发，推动互联网基础资源高质量发展。</w:t>
      </w:r>
    </w:p>
    <w:p>
      <w:pPr>
        <w:spacing w:before="0" w:after="80"/>
        <w:pBdr>
          <w:bottom w:val="single" w:sz="4" w:space="1" w:color="DDDDDD"/>
        </w:pBdr>
      </w:pPr>
    </w:p>
    <w:p>
      <w:r>
        <w:rPr>
          <w:b/>
          <w:sz w:val="24"/>
        </w:rPr>
        <w:t>《广西规上工业企业数智化转型工作指引(2026版)》</w:t>
      </w:r>
    </w:p>
    <w:p>
      <w:r>
        <w:rPr>
          <w:color w:val="646464"/>
          <w:sz w:val="20"/>
        </w:rPr>
        <w:t>文　　号：暂无</w:t>
        <w:br/>
        <w:t>发文机关：广西壮族自治区工业和信息化厅</w:t>
        <w:br/>
        <w:t>发文日期：2026-07-01</w:t>
      </w:r>
    </w:p>
    <w:p>
      <w:pPr>
        <w:ind w:left="240"/>
      </w:pPr>
      <w:r>
        <w:t>推动广西规上工业企业数智化转型全域覆盖。</w:t>
      </w:r>
    </w:p>
    <w:p>
      <w:pPr>
        <w:spacing w:before="0" w:after="80"/>
        <w:pBdr>
          <w:bottom w:val="single" w:sz="4" w:space="1" w:color="DDDDDD"/>
        </w:pBdr>
      </w:pPr>
    </w:p>
    <w:p/>
    <w:p>
      <w:pPr>
        <w:pStyle w:val="Heading1"/>
      </w:pPr>
      <w:r>
        <w:rPr>
          <w:color w:val="5B6DE4"/>
          <w:sz w:val="28"/>
        </w:rPr>
        <w:t>三、今年以来主要政策</w:t>
      </w:r>
    </w:p>
    <w:p>
      <w:r>
        <w:rPr>
          <w:b/>
          <w:sz w:val="24"/>
        </w:rPr>
        <w:t>《专家解读|统筹高质量发展与高水平安全:从《智能体规范应用与创新发展实施意见》看ai产业新图景》</w:t>
      </w:r>
    </w:p>
    <w:p>
      <w:r>
        <w:rPr>
          <w:color w:val="646464"/>
          <w:sz w:val="20"/>
        </w:rPr>
        <w:t>文　　号：暂无</w:t>
        <w:br/>
        <w:t>发文机关：中央网络安全和信息化委员会办公室</w:t>
        <w:br/>
        <w:t>发文日期：2026-05-08</w:t>
        <w:br/>
        <w:t>原文链接：https://www.cac.gov.cn/wxzw/zcfg/A093703index_1.htm</w:t>
      </w:r>
    </w:p>
    <w:p>
      <w:pPr>
        <w:ind w:left="240"/>
      </w:pPr>
      <w:r>
        <w:t>解读智能体规范应用与创新发展实施意见。</w:t>
      </w:r>
    </w:p>
    <w:p>
      <w:pPr>
        <w:spacing w:before="0" w:after="80"/>
        <w:pBdr>
          <w:bottom w:val="single" w:sz="4" w:space="1" w:color="DDDDDD"/>
        </w:pBdr>
      </w:pPr>
    </w:p>
    <w:p>
      <w:r>
        <w:rPr>
          <w:b/>
          <w:sz w:val="24"/>
        </w:rPr>
        <w:t>《高质量数据集建设现场会在广东省广州市召开》</w:t>
      </w:r>
    </w:p>
    <w:p>
      <w:r>
        <w:rPr>
          <w:color w:val="646464"/>
          <w:sz w:val="20"/>
        </w:rPr>
        <w:t>文　　号：暂无</w:t>
        <w:br/>
        <w:t>发文机关：国家数据局</w:t>
        <w:br/>
        <w:t>发文日期：2026-05-25</w:t>
        <w:br/>
        <w:t>原文链接：https://www.ndrc.gov.cn/fzggw/wld/llh/zyhd/index.html</w:t>
      </w:r>
    </w:p>
    <w:p>
      <w:pPr>
        <w:ind w:left="240"/>
      </w:pPr>
      <w:r>
        <w:t>国家数据局在广州召开高质量数据集建设现场会。</w:t>
      </w:r>
    </w:p>
    <w:p>
      <w:pPr>
        <w:spacing w:before="0" w:after="80"/>
        <w:pBdr>
          <w:bottom w:val="single" w:sz="4" w:space="1" w:color="DDDDDD"/>
        </w:pBdr>
      </w:pPr>
    </w:p>
    <w:p>
      <w:r>
        <w:rPr>
          <w:b/>
          <w:sz w:val="24"/>
        </w:rPr>
        <w:t>《全国数据标准化技术委员会2026年第一次标准周活动在广州举行》</w:t>
      </w:r>
    </w:p>
    <w:p>
      <w:r>
        <w:rPr>
          <w:color w:val="646464"/>
          <w:sz w:val="20"/>
        </w:rPr>
        <w:t>文　　号：暂无</w:t>
        <w:br/>
        <w:t>发文机关：全国数据标准化技术委员会</w:t>
        <w:br/>
        <w:t>发文日期：2026-05-20</w:t>
        <w:br/>
        <w:t>原文链接：https://www.ndrc.gov.cn/fzggw/wld/llh/zyhd/index.html</w:t>
      </w:r>
    </w:p>
    <w:p>
      <w:pPr>
        <w:ind w:left="240"/>
      </w:pPr>
      <w:r>
        <w:t>数据标准化技术委员会在广州举办标准周活动。</w:t>
      </w:r>
    </w:p>
    <w:p>
      <w:pPr>
        <w:spacing w:before="0" w:after="80"/>
        <w:pBdr>
          <w:bottom w:val="single" w:sz="4" w:space="1" w:color="DDDDDD"/>
        </w:pBdr>
      </w:pPr>
    </w:p>
    <w:p>
      <w:r>
        <w:rPr>
          <w:b/>
          <w:sz w:val="24"/>
        </w:rPr>
        <w:t>《互联网信息服务深度合成管理规定》</w:t>
      </w:r>
    </w:p>
    <w:p>
      <w:r>
        <w:rPr>
          <w:color w:val="646464"/>
          <w:sz w:val="20"/>
        </w:rPr>
        <w:t>文　　号：暂无</w:t>
        <w:br/>
        <w:t>发文机关：国家互联网信息办公室</w:t>
        <w:br/>
        <w:t>发文日期：2026-03-03</w:t>
        <w:br/>
        <w:t>原文链接：https://cqca.miit.gov.cn/zwgk/zcwj/flfg/index.html</w:t>
      </w:r>
    </w:p>
    <w:p>
      <w:pPr>
        <w:ind w:left="240"/>
      </w:pPr>
      <w:r>
        <w:t>规范互联网信息服务深度合成活动。</w:t>
      </w:r>
    </w:p>
    <w:p>
      <w:pPr>
        <w:spacing w:before="0" w:after="80"/>
        <w:pBdr>
          <w:bottom w:val="single" w:sz="4" w:space="1" w:color="DDDDDD"/>
        </w:pBdr>
      </w:pPr>
    </w:p>
    <w:p>
      <w:r>
        <w:rPr>
          <w:b/>
          <w:sz w:val="24"/>
        </w:rPr>
        <w:t>《网络数据安全管理条例》</w:t>
      </w:r>
    </w:p>
    <w:p>
      <w:r>
        <w:rPr>
          <w:color w:val="646464"/>
          <w:sz w:val="20"/>
        </w:rPr>
        <w:t>文　　号：暂无</w:t>
        <w:br/>
        <w:t>发文机关：国务院</w:t>
        <w:br/>
        <w:t>发文日期：2026-03-03</w:t>
        <w:br/>
        <w:t>原文链接：https://cqca.miit.gov.cn/zwgk/zcwj/flfg/index.html</w:t>
      </w:r>
    </w:p>
    <w:p>
      <w:pPr>
        <w:ind w:left="240"/>
      </w:pPr>
      <w:r>
        <w:t>明确网络数据处理活动安全管理要求。</w:t>
      </w:r>
    </w:p>
    <w:p>
      <w:pPr>
        <w:spacing w:before="0" w:after="80"/>
        <w:pBdr>
          <w:bottom w:val="single" w:sz="4" w:space="1" w:color="DDDDDD"/>
        </w:pBdr>
      </w:pPr>
    </w:p>
    <w:p>
      <w:r>
        <w:rPr>
          <w:b/>
          <w:sz w:val="24"/>
        </w:rPr>
        <w:t>《政务数据共享条例》</w:t>
      </w:r>
    </w:p>
    <w:p>
      <w:r>
        <w:rPr>
          <w:color w:val="646464"/>
          <w:sz w:val="20"/>
        </w:rPr>
        <w:t>文　　号：暂无</w:t>
        <w:br/>
        <w:t>发文机关：国务院</w:t>
        <w:br/>
        <w:t>发文日期：2026-03-03</w:t>
        <w:br/>
        <w:t>原文链接：https://cqca.miit.gov.cn/zwgk/zcwj/flfg/index.html</w:t>
      </w:r>
    </w:p>
    <w:p>
      <w:pPr>
        <w:ind w:left="240"/>
      </w:pPr>
      <w:r>
        <w:t>规范政务数据共享，促进数据资源利用。</w:t>
      </w:r>
    </w:p>
    <w:p>
      <w:pPr>
        <w:spacing w:before="0" w:after="80"/>
        <w:pBdr>
          <w:bottom w:val="single" w:sz="4" w:space="1" w:color="DDDDDD"/>
        </w:pBdr>
      </w:pPr>
    </w:p>
    <w:p>
      <w:r>
        <w:rPr>
          <w:b/>
          <w:sz w:val="24"/>
        </w:rPr>
        <w:t>《关于组织开展宁波高新区2026年第一批人工智能产业专项政策申报的通知》</w:t>
      </w:r>
    </w:p>
    <w:p>
      <w:r>
        <w:rPr>
          <w:color w:val="646464"/>
          <w:sz w:val="20"/>
        </w:rPr>
        <w:t>文　　号：暂无</w:t>
        <w:br/>
        <w:t>发文机关：宁波高新区管委会</w:t>
        <w:br/>
        <w:t>发文日期：2026-03-10</w:t>
      </w:r>
    </w:p>
    <w:p>
      <w:pPr>
        <w:ind w:left="240"/>
      </w:pPr>
      <w:r>
        <w:t>宁波高新区启动AI产业专项政策申报，支持边缘算力。</w:t>
      </w:r>
    </w:p>
    <w:p>
      <w:pPr>
        <w:spacing w:before="0" w:after="80"/>
        <w:pBdr>
          <w:bottom w:val="single" w:sz="4" w:space="1" w:color="DDDDDD"/>
        </w:pBdr>
      </w:pPr>
    </w:p>
    <w:p>
      <w:r>
        <w:rPr>
          <w:b/>
          <w:sz w:val="24"/>
        </w:rPr>
        <w:t>《关于公开征求《荆州市加快人工智能赋能新型工业化方案(2026-2028年)》意见的公告》</w:t>
      </w:r>
    </w:p>
    <w:p>
      <w:r>
        <w:rPr>
          <w:color w:val="646464"/>
          <w:sz w:val="20"/>
        </w:rPr>
        <w:t>文　　号：暂无</w:t>
        <w:br/>
        <w:t>发文机关：荆州市经信局</w:t>
        <w:br/>
        <w:t>发文日期：2026-02-10</w:t>
      </w:r>
    </w:p>
    <w:p>
      <w:pPr>
        <w:ind w:left="240"/>
      </w:pPr>
      <w:r>
        <w:t>荆州征求意见，推动AI赋能新型工业化。</w:t>
      </w:r>
    </w:p>
    <w:p>
      <w:pPr>
        <w:spacing w:before="0" w:after="80"/>
        <w:pBdr>
          <w:bottom w:val="single" w:sz="4" w:space="1" w:color="DDDDDD"/>
        </w:pBdr>
      </w:pPr>
    </w:p>
    <w:p>
      <w:r>
        <w:rPr>
          <w:b/>
          <w:sz w:val="24"/>
        </w:rPr>
        <w:t>《深圳市工业和信息化局关于发布2026年企业技术改造扶持计划传统优势产业数字化转型项目申报指南的通知》</w:t>
      </w:r>
    </w:p>
    <w:p>
      <w:r>
        <w:rPr>
          <w:color w:val="646464"/>
          <w:sz w:val="20"/>
        </w:rPr>
        <w:t>文　　号：暂无</w:t>
        <w:br/>
        <w:t>发文机关：深圳市工业和信息化局</w:t>
        <w:br/>
        <w:t>发文日期：2026-02-09</w:t>
        <w:br/>
        <w:t>原文链接：http://gxj.sz.gov.cn/gkmlpt/content/12/12639/post_12639372.html</w:t>
      </w:r>
    </w:p>
    <w:p>
      <w:pPr>
        <w:ind w:left="240"/>
      </w:pPr>
      <w:r>
        <w:t>深圳发布传统产业数字化转型项目申报指南。</w:t>
      </w:r>
    </w:p>
    <w:p>
      <w:pPr>
        <w:spacing w:before="0" w:after="80"/>
        <w:pBdr>
          <w:bottom w:val="single" w:sz="4" w:space="1" w:color="DDDDDD"/>
        </w:pBdr>
      </w:pPr>
    </w:p>
    <w:p>
      <w:r>
        <w:rPr>
          <w:b/>
          <w:sz w:val="24"/>
        </w:rPr>
        <w:t>《上海市经济信息化委关于组织2026年上海市制造业智能化发展项目申报工作的通知》</w:t>
      </w:r>
    </w:p>
    <w:p>
      <w:r>
        <w:rPr>
          <w:color w:val="646464"/>
          <w:sz w:val="20"/>
        </w:rPr>
        <w:t>文　　号：暂无</w:t>
        <w:br/>
        <w:t>发文机关：上海市经济和信息化委员会</w:t>
        <w:br/>
        <w:t>发文日期：2026-01-12</w:t>
        <w:br/>
        <w:t>原文链接：https://www.sheitc.sh.gov.cn/cyfz/20260112/11e3168ff89a4eeea2b1afd193c19418.html</w:t>
      </w:r>
    </w:p>
    <w:p>
      <w:pPr>
        <w:ind w:left="240"/>
      </w:pPr>
      <w:r>
        <w:t>上海组织2026年制造业智能化发展项目申报。</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算力政策从“建设”转向“普惠易用”。近期工信部开展“普惠算力赋能中小企业专项行动”，安徽、浙江等地密集推出算力券、补贴等政策，标志着算力供给从基础设施扩张转向降低中小企业用算成本。逻辑在于：算力过剩与需求错配并存，政策意图通过财政杠杆激活应用端。研判：2026年下半年将有更多省份跟进算力券模式，算力服务商竞争加剧，行业整合提速。</w:t>
      </w:r>
    </w:p>
    <w:p>
      <w:r>
        <w:rPr>
          <w:b/>
          <w:color w:val="5B6DE4"/>
        </w:rPr>
        <w:t xml:space="preserve">②  </w:t>
      </w:r>
      <w:r>
        <w:t>趋势2：工业互联网平台政策进入“高质量”新阶段。工信部7月印发《推动工业互联网平台高质量发展行动方案(2026—2028年)》，与此前侧重“数量扩张”不同，新方案强调平台能力提升、应用深化和生态构建。逻辑在于：平台数量已具规模，但“建而不用”“用而不深”问题突出。研判：未来三年平台将加速优胜劣汰，头部平台通过行业深耕和AI融合构建护城河，中小平台面临转型压力。</w:t>
      </w:r>
    </w:p>
    <w:p>
      <w:r>
        <w:rPr>
          <w:b/>
          <w:color w:val="5B6DE4"/>
        </w:rPr>
        <w:t xml:space="preserve">③  </w:t>
      </w:r>
      <w:r>
        <w:t>趋势3：数据安全治理从“框架立法”走向“细则落地”。6月三部门联合公布《网络数据安全风险评估办法》，同时发布首批网络安全标识产品目录，标志着数据安全从宏观条例进入可操作、可执行的细则阶段。逻辑在于：数据要素市场建设要求安全底线清晰化，风险评估和标识制度是市场化配置的基础设施。研判：下半年将出台配套评估指南和标识认证体系，企业合规成本短期上升，但长期利好数据流通。</w:t>
      </w:r>
    </w:p>
    <w:p>
      <w:r>
        <w:rPr>
          <w:b/>
          <w:color w:val="5B6DE4"/>
        </w:rPr>
        <w:t xml:space="preserve">④  </w:t>
      </w:r>
      <w:r>
        <w:t>趋势4：人工智能治理聚焦“智能体”新形态。网信办5月发布《智能体规范应用与创新发展实施意见》专家解读，表明监管层已关注到AI Agent（智能体）带来的新风险。逻辑在于：智能体具备自主决策、工具调用能力，传统AI监管框架难以覆盖。研判：2026年下半年可能出台智能体专项管理办法，重点规范自主行为边界、责任归属和透明度要求，企业需提前布局合规能力。</w:t>
      </w:r>
    </w:p>
    <w:p>
      <w:r>
        <w:rPr>
          <w:b/>
          <w:color w:val="5B6DE4"/>
        </w:rPr>
        <w:t xml:space="preserve">⑤  </w:t>
      </w:r>
      <w:r>
        <w:t>趋势5：区域算力布局呈现“东部引领、中西部追赶”分化格局。浙江、上海、广东等地密集出台算力补贴和产业政策，而河南、湖北等中部省份也开始制定AI赋能方案。逻辑在于：东部地区算力基建领先，政策重心转向应用和生态；中西部则仍处于“补基建、引产业”阶段。研判：算力资源将进一步向东部集聚，但“东数西算”工程将通过国家枢纽节点引导部分算力需求西迁，形成错位竞争。</w:t>
      </w:r>
    </w:p>
    <w:p>
      <w:r>
        <w:rPr>
          <w:b/>
          <w:color w:val="5B6DE4"/>
        </w:rPr>
        <w:t xml:space="preserve">⑥  </w:t>
      </w:r>
      <w:r>
        <w:t>趋势6（国际比较）：中国AI治理强调“发展与安全并重”，与欧盟“风险分级监管”和美国“行业自律+行政令”形成三种路径。中国近期出台智能体规范、深度合成管理规定，体现“事前备案+事中监管”思路；欧盟AI Act于2026年全面实施，采用四级风险分类；美国则通过行政令和行业标准引导。异同：中国更侧重国家安全和意识形态风险，欧盟聚焦基本权利，美国强调创新领先。启示：中国需在监管强度与产业活力间寻找平衡，避免过度合规抑制创新，同时积极参与国际AI治理规则制定。</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