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sz w:val="30"/>
          <w:szCs w:val="30"/>
        </w:rPr>
      </w:pPr>
      <w:r w:rsidDel="00000000" w:rsidR="00000000" w:rsidRPr="00000000">
        <w:rPr>
          <w:rFonts w:ascii="Arial Unicode MS" w:cs="Arial Unicode MS" w:eastAsia="Arial Unicode MS" w:hAnsi="Arial Unicode MS"/>
          <w:sz w:val="30"/>
          <w:szCs w:val="30"/>
          <w:rtl w:val="0"/>
        </w:rPr>
        <w:t xml:space="preserve">獎品說明：</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▎飛利浦智慧萬用鍋(HD2140/50)</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產品功能：雙重控溫科技/無水烹調技術/16種自動烹飪/18道安全防護</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技術規格</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 料理杯容量：5 L</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 電線長度：1 m</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 頻率：50 Hz</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 電壓：110 V</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 功率：900 W</w:t>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▎城市移動防水腰/斜背包(黑色/綠色)</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•長25cm、寬9cm、高7cm</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•背帶:60~100cm(可調式)</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•重量: 240g（黑、綠兩色採隨機出貨）</w:t>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▎布拉姆斯+穆索斯基/齊柏斯坦演奏(2張CD一組)</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德國專業古典音樂品牌hanssler特別邀請齊柏絲坦錄製這張布拉姆斯第一號鋼琴協奏曲的四手聯彈版本，還加收了布拉姆斯著名的悲劇序曲。想體驗齊柏絲坦的觸鍵魔力，這是你絕對不能錯過的一張專輯！規格：CDX2</w:t>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▎不是說好了嗎?CD+繪本</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收錄新世紀名家鋼琴、吉他、豎琴演奏曲，以及薩提、艾爾加的古典小品，一邊聽著輕鬆樂曲，一邊沉靜在充滿溫度和童心的可愛繪本中……</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規格：金革第一本結合插畫ｘ文字ｘ音樂的療癒繪本輯</w:t>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▎遠見雜誌特刊</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color w:val="ff0000"/>
          <w:sz w:val="30"/>
          <w:szCs w:val="30"/>
        </w:rPr>
      </w:pPr>
      <w:r w:rsidDel="00000000" w:rsidR="00000000" w:rsidRPr="00000000">
        <w:rPr>
          <w:rFonts w:ascii="Arial Unicode MS" w:cs="Arial Unicode MS" w:eastAsia="Arial Unicode MS" w:hAnsi="Arial Unicode MS"/>
          <w:color w:val="ff0000"/>
          <w:sz w:val="30"/>
          <w:szCs w:val="30"/>
          <w:rtl w:val="0"/>
        </w:rPr>
        <w:t xml:space="preserve">活動注意事項</w:t>
      </w:r>
    </w:p>
    <w:p w:rsidR="00000000" w:rsidDel="00000000" w:rsidP="00000000" w:rsidRDefault="00000000" w:rsidRPr="00000000" w14:paraId="0000001B">
      <w:pPr>
        <w:rPr>
          <w:color w:val="ff000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1906" w:w="16838" w:orient="landscape"/>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