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Task Tracker</w:t>
      </w:r>
    </w:p>
    <w:p>
      <w:r>
        <w:t># Weekly/Monthly Task Tracker</w:t>
      </w:r>
    </w:p>
    <w:p/>
    <w:p>
      <w:r>
        <w:t>| Client                  | Task                                 | Owner | Deadline   | Status       | Notes |</w:t>
      </w:r>
    </w:p>
    <w:p>
      <w:r>
        <w:t>|--------------------------|--------------------------------------|-------|------------|--------------|-------|</w:t>
      </w:r>
    </w:p>
    <w:p>
      <w:r>
        <w:t>| High Fliers Films Ltd    | Prepare Jan 2026 VAT return          | NJ    | 31 Jan 26  | 🔄 In prep   | Refund received for Sep 2025 |</w:t>
      </w:r>
    </w:p>
    <w:p>
      <w:r>
        <w:t>| Rothwell Real Estate Ltd | Confirm VAT reg acceptance           | NJ    | 20 Oct 25  | 🟡 Pending  | Resubmitted after ID rejection |</w:t>
      </w:r>
    </w:p>
    <w:p>
      <w:r>
        <w:t>| Black Horse Finance      | Prepare FOS escalation if no reply   | NJ    | 15 Nov 25  | 🟡 Pending  | Awaiting response from lender |</w:t>
      </w:r>
    </w:p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43200" cy="578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il MDJ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86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1440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DJ Squa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